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14E38" w14:textId="0E54FD95" w:rsidR="007F162A" w:rsidRPr="003346C1" w:rsidRDefault="000135DD" w:rsidP="007F162A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bookmarkStart w:id="0" w:name="_GoBack"/>
      <w:r>
        <w:rPr>
          <w:rFonts w:eastAsia="MS Mincho" w:cs="Arial"/>
          <w:kern w:val="0"/>
          <w:sz w:val="24"/>
          <w:lang w:val="en-US" w:eastAsia="en-US"/>
        </w:rPr>
        <w:t>3GPP TSG-RAN1 #84</w:t>
      </w:r>
      <w:r w:rsidR="007F162A" w:rsidRPr="003346C1">
        <w:rPr>
          <w:rFonts w:eastAsia="MS Mincho" w:cs="Arial"/>
          <w:kern w:val="0"/>
          <w:sz w:val="24"/>
          <w:lang w:val="en-US" w:eastAsia="en-US"/>
        </w:rPr>
        <w:tab/>
      </w:r>
      <w:r w:rsidR="007F162A" w:rsidRPr="0040263B">
        <w:rPr>
          <w:rFonts w:eastAsia="MS Mincho" w:cs="Arial"/>
          <w:kern w:val="0"/>
          <w:sz w:val="24"/>
          <w:lang w:val="en-US" w:eastAsia="en-US"/>
        </w:rPr>
        <w:t>R1-16</w:t>
      </w:r>
      <w:r w:rsidR="0040263B" w:rsidRPr="0040263B">
        <w:rPr>
          <w:rFonts w:eastAsia="MS Mincho" w:cs="Arial"/>
          <w:kern w:val="0"/>
          <w:sz w:val="24"/>
          <w:lang w:val="en-US" w:eastAsia="en-US"/>
        </w:rPr>
        <w:t>0439</w:t>
      </w:r>
    </w:p>
    <w:p w14:paraId="46F2892B" w14:textId="3BADE33E" w:rsidR="007F162A" w:rsidRPr="003346C1" w:rsidRDefault="007F162A" w:rsidP="007F162A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3346C1">
        <w:rPr>
          <w:rFonts w:eastAsia="MS Mincho" w:cs="Arial"/>
          <w:kern w:val="0"/>
          <w:sz w:val="24"/>
          <w:lang w:val="en-US" w:eastAsia="en-US"/>
        </w:rPr>
        <w:t>1</w:t>
      </w:r>
      <w:r w:rsidR="000135DD">
        <w:rPr>
          <w:rFonts w:eastAsia="MS Mincho" w:cs="Arial"/>
          <w:kern w:val="0"/>
          <w:sz w:val="24"/>
          <w:lang w:val="en-US" w:eastAsia="en-US"/>
        </w:rPr>
        <w:t>5-19 February</w:t>
      </w:r>
      <w:r w:rsidRPr="003346C1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6356F834" w14:textId="5610B6ED" w:rsidR="003346C1" w:rsidRDefault="003046FB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3046FB">
        <w:rPr>
          <w:rFonts w:eastAsia="MS Mincho" w:cs="Arial"/>
          <w:kern w:val="0"/>
          <w:sz w:val="24"/>
          <w:lang w:val="en-US" w:eastAsia="en-US"/>
        </w:rPr>
        <w:t>St Julian’s, Malta</w:t>
      </w:r>
    </w:p>
    <w:p w14:paraId="5A467A5D" w14:textId="77777777" w:rsidR="003046FB" w:rsidRPr="003346C1" w:rsidRDefault="003046FB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069B5A59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0135DD">
        <w:rPr>
          <w:rFonts w:cs="Arial"/>
          <w:b/>
          <w:sz w:val="24"/>
          <w:lang w:val="en-US" w:eastAsia="ja-JP"/>
        </w:rPr>
        <w:t>–</w:t>
      </w:r>
      <w:r w:rsidR="00DE35EB">
        <w:rPr>
          <w:rFonts w:cs="Arial"/>
          <w:b/>
          <w:sz w:val="24"/>
          <w:lang w:val="en-US" w:eastAsia="ja-JP"/>
        </w:rPr>
        <w:t xml:space="preserve"> </w:t>
      </w:r>
      <w:r w:rsidR="00DF4699">
        <w:rPr>
          <w:rFonts w:cs="Arial"/>
          <w:b/>
          <w:sz w:val="24"/>
          <w:lang w:val="en-US" w:eastAsia="ja-JP"/>
        </w:rPr>
        <w:t xml:space="preserve">Hopping Pattern for </w:t>
      </w:r>
      <w:r w:rsidR="000135DD">
        <w:rPr>
          <w:rFonts w:cs="Arial"/>
          <w:b/>
          <w:sz w:val="24"/>
          <w:lang w:val="en-US" w:eastAsia="ja-JP"/>
        </w:rPr>
        <w:t>Single Tone</w:t>
      </w:r>
      <w:r w:rsidR="00C9756D">
        <w:rPr>
          <w:rFonts w:cs="Arial"/>
          <w:b/>
          <w:sz w:val="24"/>
          <w:lang w:val="en-US" w:eastAsia="ja-JP"/>
        </w:rPr>
        <w:t xml:space="preserve"> </w:t>
      </w:r>
      <w:r w:rsidR="000163BB">
        <w:rPr>
          <w:rFonts w:cs="Arial"/>
          <w:b/>
          <w:sz w:val="24"/>
          <w:lang w:val="en-US" w:eastAsia="ja-JP"/>
        </w:rPr>
        <w:t>NB-PRACH</w:t>
      </w:r>
      <w:r w:rsidR="00895096">
        <w:rPr>
          <w:rFonts w:cs="Arial"/>
          <w:b/>
          <w:sz w:val="24"/>
          <w:lang w:val="en-US" w:eastAsia="ja-JP"/>
        </w:rPr>
        <w:t xml:space="preserve"> 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799A7399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C9756D">
        <w:rPr>
          <w:rFonts w:cs="Arial"/>
          <w:b/>
          <w:sz w:val="24"/>
          <w:lang w:val="en-US"/>
        </w:rPr>
        <w:t xml:space="preserve">Agenda Item:         </w:t>
      </w:r>
      <w:r w:rsidRPr="00C9756D">
        <w:rPr>
          <w:rFonts w:cs="Arial"/>
          <w:b/>
          <w:sz w:val="24"/>
          <w:lang w:val="en-US"/>
        </w:rPr>
        <w:tab/>
      </w:r>
      <w:r w:rsidR="00C9756D">
        <w:rPr>
          <w:rFonts w:cs="Arial"/>
          <w:b/>
          <w:sz w:val="24"/>
          <w:lang w:val="en-US"/>
        </w:rPr>
        <w:t>7.2.1.2.2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16C3BD15" w14:textId="0F3C50B3" w:rsidR="0052438A" w:rsidRDefault="0052438A" w:rsidP="0052438A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3B44B7">
        <w:rPr>
          <w:i/>
          <w:lang w:val="en-US"/>
        </w:rPr>
        <w:t>b</w:t>
      </w:r>
      <w:r w:rsidRPr="00D9057B">
        <w:rPr>
          <w:i/>
          <w:lang w:val="en-US"/>
        </w:rPr>
        <w:t xml:space="preserve">and </w:t>
      </w:r>
      <w:proofErr w:type="spellStart"/>
      <w:r w:rsidRPr="00D9057B">
        <w:rPr>
          <w:i/>
          <w:lang w:val="en-US"/>
        </w:rPr>
        <w:t>I</w:t>
      </w:r>
      <w:r w:rsidR="003B44B7"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 xml:space="preserve"> (NB-</w:t>
      </w:r>
      <w:proofErr w:type="spellStart"/>
      <w:r w:rsidRPr="00D9057B">
        <w:rPr>
          <w:i/>
          <w:lang w:val="en-US"/>
        </w:rPr>
        <w:t>I</w:t>
      </w:r>
      <w:r w:rsidR="00A546B8"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>)</w:t>
      </w:r>
      <w:r>
        <w:rPr>
          <w:lang w:val="en-US"/>
        </w:rPr>
        <w:t xml:space="preserve"> was approved, see</w:t>
      </w:r>
      <w:r w:rsidR="00594E36">
        <w:rPr>
          <w:lang w:val="en-US"/>
        </w:rPr>
        <w:t xml:space="preserve"> </w:t>
      </w:r>
      <w:r w:rsidR="009700FD">
        <w:rPr>
          <w:lang w:val="en-US"/>
        </w:rPr>
        <w:fldChar w:fldCharType="begin"/>
      </w:r>
      <w:r w:rsidR="009700FD">
        <w:rPr>
          <w:lang w:val="en-US"/>
        </w:rPr>
        <w:instrText xml:space="preserve"> REF _Ref433894019 \r \h </w:instrText>
      </w:r>
      <w:r w:rsidR="009700FD">
        <w:rPr>
          <w:lang w:val="en-US"/>
        </w:rPr>
      </w:r>
      <w:r w:rsidR="009700FD">
        <w:rPr>
          <w:lang w:val="en-US"/>
        </w:rPr>
        <w:fldChar w:fldCharType="separate"/>
      </w:r>
      <w:r w:rsidR="00E4201C">
        <w:rPr>
          <w:lang w:val="en-US"/>
        </w:rPr>
        <w:t>[1]</w:t>
      </w:r>
      <w:r w:rsidR="009700FD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</w:p>
    <w:p w14:paraId="5B3559C7" w14:textId="77777777" w:rsidR="005560B2" w:rsidRPr="000A105F" w:rsidRDefault="005560B2" w:rsidP="005560B2">
      <w:pPr>
        <w:pStyle w:val="BodyText"/>
        <w:rPr>
          <w:highlight w:val="yellow"/>
        </w:rPr>
      </w:pPr>
      <w:r w:rsidRPr="003346C1">
        <w:t xml:space="preserve">In RAN#70, the following items have been agreed </w:t>
      </w:r>
      <w:r w:rsidRPr="003346C1">
        <w:fldChar w:fldCharType="begin"/>
      </w:r>
      <w:r w:rsidRPr="003346C1">
        <w:instrText xml:space="preserve"> REF _Ref436223503 \r \h  \* MERGEFORMAT </w:instrText>
      </w:r>
      <w:r w:rsidRPr="003346C1">
        <w:fldChar w:fldCharType="separate"/>
      </w:r>
      <w:r w:rsidR="00E4201C">
        <w:t>[2]</w:t>
      </w:r>
      <w:r w:rsidRPr="003346C1">
        <w:fldChar w:fldCharType="end"/>
      </w:r>
      <w:r w:rsidRPr="003346C1">
        <w:t>.</w:t>
      </w:r>
    </w:p>
    <w:p w14:paraId="28C20973" w14:textId="77777777" w:rsidR="005560B2" w:rsidRDefault="005560B2" w:rsidP="005560B2">
      <w:pPr>
        <w:numPr>
          <w:ilvl w:val="0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180 kHz UE RF bandwidth for both downlink and uplink</w:t>
      </w:r>
    </w:p>
    <w:p w14:paraId="36F158AB" w14:textId="77777777" w:rsidR="005560B2" w:rsidRDefault="005560B2" w:rsidP="005560B2">
      <w:pPr>
        <w:numPr>
          <w:ilvl w:val="0"/>
          <w:numId w:val="17"/>
        </w:numPr>
        <w:spacing w:after="180"/>
        <w:ind w:right="-99"/>
        <w:jc w:val="left"/>
        <w:rPr>
          <w:bCs/>
        </w:rPr>
      </w:pPr>
      <w:r w:rsidRPr="0007668C">
        <w:rPr>
          <w:bCs/>
        </w:rPr>
        <w:t>OFDMA on the downlink</w:t>
      </w:r>
    </w:p>
    <w:p w14:paraId="63E3746E" w14:textId="77777777" w:rsidR="005560B2" w:rsidRDefault="005560B2" w:rsidP="005560B2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 xml:space="preserve">15 kHz sub-carrier spacing for all the modes of operation (with normal or extended CP). </w:t>
      </w:r>
    </w:p>
    <w:p w14:paraId="27F697C6" w14:textId="77777777" w:rsidR="005560B2" w:rsidRDefault="005560B2" w:rsidP="005560B2">
      <w:pPr>
        <w:numPr>
          <w:ilvl w:val="0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 xml:space="preserve">For the uplink: </w:t>
      </w:r>
    </w:p>
    <w:p w14:paraId="3A294B6A" w14:textId="77777777" w:rsidR="005560B2" w:rsidRDefault="005560B2" w:rsidP="005560B2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>
        <w:rPr>
          <w:bCs/>
        </w:rPr>
        <w:t>sinc</w:t>
      </w:r>
      <w:proofErr w:type="spellEnd"/>
      <w:r>
        <w:rPr>
          <w:bCs/>
        </w:rPr>
        <w:t xml:space="preserve"> pulse-shaping in the physical layer description.</w:t>
      </w:r>
    </w:p>
    <w:p w14:paraId="5D3EFC18" w14:textId="77777777" w:rsidR="005560B2" w:rsidRDefault="005560B2" w:rsidP="005560B2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Multi-tone transmissions are supported, based on SC-FDMA with 15 kHz UL subcarrier spacing.</w:t>
      </w:r>
    </w:p>
    <w:p w14:paraId="545A15B6" w14:textId="77777777" w:rsidR="005560B2" w:rsidRDefault="005560B2" w:rsidP="005560B2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FFS: Additional mechanisms for PAPR reduction.</w:t>
      </w:r>
    </w:p>
    <w:p w14:paraId="572FAE0F" w14:textId="2244E3E4" w:rsidR="005560B2" w:rsidRPr="005560B2" w:rsidRDefault="005560B2" w:rsidP="0052438A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The UE shall indicate the support single-tone and/or multi-tone, details to be discussed by RAN WGs</w:t>
      </w:r>
    </w:p>
    <w:p w14:paraId="6F08B936" w14:textId="6526FAC1" w:rsidR="00D814D8" w:rsidRPr="00D15FDF" w:rsidRDefault="008D36F1" w:rsidP="00D15FDF">
      <w:r w:rsidRPr="00D15FDF">
        <w:t>In RAN1 NB-</w:t>
      </w:r>
      <w:proofErr w:type="spellStart"/>
      <w:r w:rsidRPr="00D15FDF">
        <w:t>IoT</w:t>
      </w:r>
      <w:proofErr w:type="spellEnd"/>
      <w:r w:rsidRPr="00D15FDF">
        <w:t xml:space="preserve"> ad </w:t>
      </w:r>
      <w:r w:rsidR="005560B2" w:rsidRPr="00D15FDF">
        <w:t xml:space="preserve">hoc meeting, it was </w:t>
      </w:r>
      <w:r w:rsidR="00351C0A">
        <w:t xml:space="preserve">further </w:t>
      </w:r>
      <w:r w:rsidR="005560B2" w:rsidRPr="00D15FDF">
        <w:t xml:space="preserve">agreed that </w:t>
      </w:r>
      <w:r w:rsidR="00D15FDF">
        <w:t>“</w:t>
      </w:r>
      <w:r w:rsidR="005560B2">
        <w:rPr>
          <w:rFonts w:eastAsia="MS Mincho"/>
          <w:lang w:val="en-US" w:eastAsia="ja-JP"/>
        </w:rPr>
        <w:t>Support one PRACH scheme for all MCL cases</w:t>
      </w:r>
      <w:r w:rsidR="00D15FDF">
        <w:rPr>
          <w:rFonts w:eastAsia="MS Mincho"/>
          <w:lang w:val="en-US" w:eastAsia="ja-JP"/>
        </w:rPr>
        <w:t xml:space="preserve"> </w:t>
      </w:r>
      <w:r w:rsidR="00D15FDF" w:rsidRPr="00D15FDF">
        <w:fldChar w:fldCharType="begin"/>
      </w:r>
      <w:r w:rsidR="00D15FDF" w:rsidRPr="00D15FDF">
        <w:instrText xml:space="preserve"> REF _Ref441756286 \r \h  \* MERGEFORMAT </w:instrText>
      </w:r>
      <w:r w:rsidR="00D15FDF" w:rsidRPr="00D15FDF">
        <w:fldChar w:fldCharType="separate"/>
      </w:r>
      <w:r w:rsidR="00E4201C">
        <w:t>[3]</w:t>
      </w:r>
      <w:r w:rsidR="00D15FDF" w:rsidRPr="00D15FDF">
        <w:fldChar w:fldCharType="end"/>
      </w:r>
      <w:r w:rsidR="00D15FDF">
        <w:t>.</w:t>
      </w:r>
      <w:r w:rsidR="00D15FDF">
        <w:rPr>
          <w:rFonts w:eastAsia="MS Mincho"/>
          <w:lang w:val="en-US" w:eastAsia="ja-JP"/>
        </w:rPr>
        <w:t>” Also, as a working assumption,</w:t>
      </w:r>
      <w:r w:rsidR="00D15FDF">
        <w:t xml:space="preserve"> “</w:t>
      </w:r>
      <w:r w:rsidR="005560B2">
        <w:rPr>
          <w:rFonts w:eastAsia="MS Mincho"/>
          <w:lang w:val="en-US" w:eastAsia="ja-JP"/>
        </w:rPr>
        <w:t>PRACH scheme is based on single-tone transmission</w:t>
      </w:r>
      <w:r w:rsidR="00D15FDF">
        <w:rPr>
          <w:rFonts w:eastAsia="MS Mincho"/>
          <w:lang w:val="en-US" w:eastAsia="ja-JP"/>
        </w:rPr>
        <w:t xml:space="preserve"> </w:t>
      </w:r>
      <w:r w:rsidR="00D15FDF" w:rsidRPr="00D15FDF">
        <w:fldChar w:fldCharType="begin"/>
      </w:r>
      <w:r w:rsidR="00D15FDF" w:rsidRPr="00D15FDF">
        <w:instrText xml:space="preserve"> REF _Ref441756286 \r \h  \* MERGEFORMAT </w:instrText>
      </w:r>
      <w:r w:rsidR="00D15FDF" w:rsidRPr="00D15FDF">
        <w:fldChar w:fldCharType="separate"/>
      </w:r>
      <w:r w:rsidR="00E4201C">
        <w:t>[3]</w:t>
      </w:r>
      <w:r w:rsidR="00D15FDF" w:rsidRPr="00D15FDF">
        <w:fldChar w:fldCharType="end"/>
      </w:r>
      <w:r w:rsidR="00D15FDF">
        <w:t>.</w:t>
      </w:r>
      <w:r w:rsidR="00D15FDF">
        <w:rPr>
          <w:rFonts w:eastAsia="MS Mincho"/>
          <w:lang w:val="en-US" w:eastAsia="ja-JP"/>
        </w:rPr>
        <w:t>”</w:t>
      </w:r>
    </w:p>
    <w:p w14:paraId="23D76E89" w14:textId="77777777" w:rsidR="005560B2" w:rsidRPr="00D15FDF" w:rsidRDefault="005560B2" w:rsidP="00D15FDF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62E7B2AD" w14:textId="6F4AA7D9" w:rsidR="00792345" w:rsidRPr="00921AB6" w:rsidRDefault="00555C0B" w:rsidP="00B342A2">
      <w:pPr>
        <w:pStyle w:val="BodyText"/>
      </w:pPr>
      <w:r>
        <w:t xml:space="preserve">In </w:t>
      </w:r>
      <w:r>
        <w:fldChar w:fldCharType="begin"/>
      </w:r>
      <w:r>
        <w:instrText xml:space="preserve"> REF _Ref442098683 \r \h </w:instrText>
      </w:r>
      <w:r>
        <w:fldChar w:fldCharType="separate"/>
      </w:r>
      <w:r w:rsidR="00E4201C">
        <w:t>[10]</w:t>
      </w:r>
      <w:r>
        <w:fldChar w:fldCharType="end"/>
      </w:r>
      <w:r>
        <w:t>, we have discussed the various design considerations on single-tone NB-PRACH design to meet the performance targets of NB-</w:t>
      </w:r>
      <w:proofErr w:type="spellStart"/>
      <w:r>
        <w:t>IoT</w:t>
      </w:r>
      <w:proofErr w:type="spellEnd"/>
      <w:r>
        <w:t xml:space="preserve">. </w:t>
      </w:r>
      <w:r w:rsidR="00921AB6">
        <w:t>In this c</w:t>
      </w:r>
      <w:r w:rsidR="003A35CF">
        <w:t>ontribution, we</w:t>
      </w:r>
      <w:r w:rsidR="002411F2">
        <w:t xml:space="preserve"> </w:t>
      </w:r>
      <w:r>
        <w:t xml:space="preserve">elaborate in more detail on the hopping pattern design. Evaluation results are provided in </w:t>
      </w:r>
      <w:r>
        <w:fldChar w:fldCharType="begin"/>
      </w:r>
      <w:r>
        <w:instrText xml:space="preserve"> REF _Ref442098866 \r \h </w:instrText>
      </w:r>
      <w:r>
        <w:fldChar w:fldCharType="separate"/>
      </w:r>
      <w:r w:rsidR="00E4201C">
        <w:t>[11]</w:t>
      </w:r>
      <w:r>
        <w:fldChar w:fldCharType="end"/>
      </w:r>
      <w:r>
        <w:t xml:space="preserve">. </w:t>
      </w:r>
    </w:p>
    <w:p w14:paraId="5A297BD7" w14:textId="3095190C" w:rsidR="00792345" w:rsidRDefault="00555C0B" w:rsidP="00792345">
      <w:pPr>
        <w:pStyle w:val="Heading1"/>
      </w:pPr>
      <w:r>
        <w:t>T</w:t>
      </w:r>
      <w:r w:rsidR="00A45510">
        <w:t>wo-layer Hopping Pattern</w:t>
      </w:r>
    </w:p>
    <w:p w14:paraId="7BBAEBFD" w14:textId="738165F7" w:rsidR="00721299" w:rsidRDefault="00721299" w:rsidP="00721299">
      <w:r>
        <w:t>T</w:t>
      </w:r>
      <w:r w:rsidR="00384695">
        <w:t>he</w:t>
      </w:r>
      <w:r>
        <w:t xml:space="preserve"> single tone NB-PRACH</w:t>
      </w:r>
      <w:r w:rsidR="00384695">
        <w:t xml:space="preserve"> design is to spread the </w:t>
      </w:r>
      <w:r w:rsidR="009B55AA">
        <w:t>random</w:t>
      </w:r>
      <w:r w:rsidR="00384695">
        <w:t xml:space="preserve"> access preamble in time, instead of spreading it in frequency.</w:t>
      </w:r>
      <w:r w:rsidR="009E00EA">
        <w:t xml:space="preserve"> If the bandwidth of the tone is small, </w:t>
      </w:r>
      <w:r w:rsidR="009E00EA">
        <w:rPr>
          <w:lang w:eastAsia="ko-KR"/>
        </w:rPr>
        <w:t>t</w:t>
      </w:r>
      <w:r>
        <w:rPr>
          <w:lang w:eastAsia="ko-KR"/>
        </w:rPr>
        <w:t xml:space="preserve">o achieve both large </w:t>
      </w:r>
      <w:r>
        <w:t xml:space="preserve">time-of-arrival estimation range (i.e., large cell size) and more accurate time-of-arrival estimation performance, </w:t>
      </w:r>
      <w:r w:rsidR="004A3F89">
        <w:t xml:space="preserve">a </w:t>
      </w:r>
      <w:r>
        <w:t>two-layer hopping</w:t>
      </w:r>
      <w:r w:rsidR="004A3F89">
        <w:t xml:space="preserve"> pattern</w:t>
      </w:r>
      <w:r>
        <w:t xml:space="preserve"> can be used</w:t>
      </w:r>
      <w:r w:rsidR="004A3F89">
        <w:t xml:space="preserve">, as illustrated in </w:t>
      </w:r>
      <w:r w:rsidR="004A3F89">
        <w:fldChar w:fldCharType="begin"/>
      </w:r>
      <w:r w:rsidR="004A3F89">
        <w:instrText xml:space="preserve"> REF _Ref436229777 \h </w:instrText>
      </w:r>
      <w:r w:rsidR="004A3F89">
        <w:fldChar w:fldCharType="separate"/>
      </w:r>
      <w:r w:rsidR="00E4201C">
        <w:t xml:space="preserve">Figure </w:t>
      </w:r>
      <w:r w:rsidR="00E4201C">
        <w:rPr>
          <w:noProof/>
        </w:rPr>
        <w:t>1</w:t>
      </w:r>
      <w:r w:rsidR="004A3F89">
        <w:fldChar w:fldCharType="end"/>
      </w:r>
      <w:r w:rsidR="004A3F89">
        <w:t>.</w:t>
      </w:r>
    </w:p>
    <w:p w14:paraId="34973746" w14:textId="7096BEF8" w:rsidR="00721299" w:rsidRDefault="00721299" w:rsidP="009E00EA">
      <w:pPr>
        <w:pStyle w:val="ListParagraph"/>
        <w:numPr>
          <w:ilvl w:val="0"/>
          <w:numId w:val="24"/>
        </w:numPr>
      </w:pPr>
      <w:r>
        <w:t>Inner layer hopping:</w:t>
      </w:r>
      <w:r w:rsidR="009E00EA">
        <w:t xml:space="preserve"> </w:t>
      </w:r>
      <w:r w:rsidR="009E00EA" w:rsidRPr="009E00EA">
        <w:t>Fixed size hopping at odd group indices. This is necessary and should be small enough to ensure certain time-of-arrival estimation range (equivalently, the cell size target) can be met.</w:t>
      </w:r>
    </w:p>
    <w:p w14:paraId="7380C177" w14:textId="6EF63A8A" w:rsidR="00721299" w:rsidRDefault="00721299" w:rsidP="009E00EA">
      <w:pPr>
        <w:pStyle w:val="ListParagraph"/>
        <w:numPr>
          <w:ilvl w:val="0"/>
          <w:numId w:val="24"/>
        </w:numPr>
      </w:pPr>
      <w:r>
        <w:t>Outer layer hopping:</w:t>
      </w:r>
      <w:r w:rsidR="009E00EA">
        <w:t xml:space="preserve"> </w:t>
      </w:r>
      <w:r w:rsidR="009E00EA" w:rsidRPr="009E00EA">
        <w:t>Hopping at even group indices.</w:t>
      </w:r>
      <w:r w:rsidR="009E00EA">
        <w:t xml:space="preserve"> With single tone NB-PRACH, t</w:t>
      </w:r>
      <w:r w:rsidR="009E00EA" w:rsidRPr="009E00EA">
        <w:t>his additiona</w:t>
      </w:r>
      <w:r w:rsidR="00ED1F0A">
        <w:t>l layer of hopping greatly helps</w:t>
      </w:r>
      <w:r w:rsidR="009E00EA" w:rsidRPr="009E00EA">
        <w:t xml:space="preserve"> improve time-of-arrival estimation accuracy and thus is needed to make NB-</w:t>
      </w:r>
      <w:proofErr w:type="spellStart"/>
      <w:r w:rsidR="009E00EA" w:rsidRPr="009E00EA">
        <w:t>IoT</w:t>
      </w:r>
      <w:proofErr w:type="spellEnd"/>
      <w:r w:rsidR="009E00EA" w:rsidRPr="009E00EA">
        <w:t xml:space="preserve"> with CP as short as 4.7us work.</w:t>
      </w:r>
    </w:p>
    <w:p w14:paraId="4C4CC7E6" w14:textId="162301A7" w:rsidR="009E00EA" w:rsidRDefault="009E00EA" w:rsidP="009E00EA">
      <w:r w:rsidRPr="009E00EA">
        <w:lastRenderedPageBreak/>
        <w:t xml:space="preserve">The </w:t>
      </w:r>
      <w:r>
        <w:t>design</w:t>
      </w:r>
      <w:r w:rsidRPr="009E00EA">
        <w:t xml:space="preserve"> on the inner layer hopping is </w:t>
      </w:r>
      <w:r>
        <w:t>more straightforward</w:t>
      </w:r>
      <w:r w:rsidRPr="009E00EA">
        <w:t>. Take 3.75 kHz tone spacing example: with 35km cell size, we</w:t>
      </w:r>
      <w:r>
        <w:t xml:space="preserve"> can</w:t>
      </w:r>
      <w:r w:rsidRPr="009E00EA">
        <w:t xml:space="preserve"> fix the value to 1; with 8 km cell size, we</w:t>
      </w:r>
      <w:r>
        <w:t xml:space="preserve"> can fix the value to 4 </w:t>
      </w:r>
      <w:r w:rsidRPr="009E00EA">
        <w:t>or just leave it to</w:t>
      </w:r>
      <w:r>
        <w:t xml:space="preserve"> be</w:t>
      </w:r>
      <w:r w:rsidRPr="009E00EA">
        <w:t xml:space="preserve"> 1 and let the outer layer hopping take care of the time-</w:t>
      </w:r>
      <w:r>
        <w:t xml:space="preserve">of-arrival estimation accuracy. This inner layer hopping has been proposed since </w:t>
      </w:r>
      <w:r>
        <w:fldChar w:fldCharType="begin"/>
      </w:r>
      <w:r>
        <w:instrText xml:space="preserve"> REF _Ref442100028 \r \h </w:instrText>
      </w:r>
      <w:r>
        <w:fldChar w:fldCharType="separate"/>
      </w:r>
      <w:r w:rsidR="00E4201C">
        <w:t>[4]</w:t>
      </w:r>
      <w:r>
        <w:fldChar w:fldCharType="end"/>
      </w:r>
      <w:r>
        <w:t>.</w:t>
      </w:r>
    </w:p>
    <w:p w14:paraId="2222B4CB" w14:textId="65CC7BBE" w:rsidR="009E00EA" w:rsidRDefault="009E00EA" w:rsidP="009E00EA">
      <w:r>
        <w:t>The design</w:t>
      </w:r>
      <w:r w:rsidRPr="009E00EA">
        <w:t xml:space="preserve"> on the outer layer hopping </w:t>
      </w:r>
      <w:r>
        <w:t>has more freedom</w:t>
      </w:r>
      <w:r w:rsidRPr="009E00EA">
        <w:t xml:space="preserve">, </w:t>
      </w:r>
      <w:r>
        <w:t>and</w:t>
      </w:r>
      <w:r w:rsidRPr="009E00EA">
        <w:t xml:space="preserve"> many different hopping patterns</w:t>
      </w:r>
      <w:r>
        <w:t xml:space="preserve"> could be proposed</w:t>
      </w:r>
      <w:r w:rsidRPr="009E00EA">
        <w:t>.</w:t>
      </w:r>
      <w:r>
        <w:t xml:space="preserve"> As long as the hopping parameters are carefully chosen, different outer layer hopping patterns can all potentially meet the performance targets. </w:t>
      </w:r>
      <w:r w:rsidRPr="009E00EA">
        <w:t>To facilitate</w:t>
      </w:r>
      <w:r>
        <w:t xml:space="preserve"> the timely completion of the work item</w:t>
      </w:r>
      <w:r w:rsidR="008F44D1">
        <w:t>, we prefer to simply re</w:t>
      </w:r>
      <w:r w:rsidRPr="009E00EA">
        <w:t>use what has been defined</w:t>
      </w:r>
      <w:r w:rsidR="0084751E">
        <w:t xml:space="preserve"> in LTE. For example, we can re</w:t>
      </w:r>
      <w:r w:rsidRPr="009E00EA">
        <w:t xml:space="preserve">use LTE PUSCH Type 2 hopping. Specifically, each </w:t>
      </w:r>
      <w:proofErr w:type="spellStart"/>
      <w:r w:rsidRPr="009E00EA">
        <w:t>eNB</w:t>
      </w:r>
      <w:proofErr w:type="spellEnd"/>
      <w:r w:rsidRPr="009E00EA">
        <w:t xml:space="preserve"> can configure one or more PRACH bands in a cell. Each PRACH band is configured by two parameters: the starting tone index and </w:t>
      </w:r>
      <w:r>
        <w:t xml:space="preserve">the </w:t>
      </w:r>
      <w:r w:rsidRPr="009E00EA">
        <w:t>number of tones in the band (f</w:t>
      </w:r>
      <w:r>
        <w:t>or example 8, 12, 16, etc. T</w:t>
      </w:r>
      <w:r w:rsidRPr="009E00EA">
        <w:t>he exact set of values that are needed</w:t>
      </w:r>
      <w:r>
        <w:t xml:space="preserve"> can be FFS</w:t>
      </w:r>
      <w:r w:rsidRPr="009E00EA">
        <w:t>). Then we can simply apply existing LTE type hopping as the outer layer mapping for NB-</w:t>
      </w:r>
      <w:proofErr w:type="spellStart"/>
      <w:r w:rsidRPr="009E00EA">
        <w:t>IoT</w:t>
      </w:r>
      <w:proofErr w:type="spellEnd"/>
      <w:r w:rsidRPr="009E00EA">
        <w:t>.</w:t>
      </w:r>
    </w:p>
    <w:p w14:paraId="4BB60A57" w14:textId="72E639B7" w:rsidR="00D12234" w:rsidRDefault="005C0209" w:rsidP="0084751E">
      <w:r>
        <w:t xml:space="preserve">The benefits </w:t>
      </w:r>
      <w:r w:rsidR="0084751E">
        <w:t>of re</w:t>
      </w:r>
      <w:r>
        <w:t>using LTE type hopping</w:t>
      </w:r>
      <w:r w:rsidR="0084751E">
        <w:t xml:space="preserve"> as well as how to reuse it</w:t>
      </w:r>
      <w:r>
        <w:t xml:space="preserve"> are elaborated in more detail in Section </w:t>
      </w:r>
      <w:r w:rsidR="0084751E">
        <w:fldChar w:fldCharType="begin"/>
      </w:r>
      <w:r w:rsidR="0084751E">
        <w:instrText xml:space="preserve"> REF _Ref442101951 \r \h </w:instrText>
      </w:r>
      <w:r w:rsidR="0084751E">
        <w:fldChar w:fldCharType="separate"/>
      </w:r>
      <w:r w:rsidR="00E4201C">
        <w:t>3</w:t>
      </w:r>
      <w:r w:rsidR="0084751E">
        <w:fldChar w:fldCharType="end"/>
      </w:r>
      <w:r w:rsidR="0084751E">
        <w:t>.</w:t>
      </w:r>
    </w:p>
    <w:p w14:paraId="19DCB975" w14:textId="3C7A861C" w:rsidR="006511DB" w:rsidRDefault="00144ED4" w:rsidP="00A45510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 wp14:anchorId="4377C0C1" wp14:editId="642A8B1F">
            <wp:extent cx="5943600" cy="16490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7F088" w14:textId="7C5D1288" w:rsidR="00D12234" w:rsidRDefault="00D12234" w:rsidP="00D12234">
      <w:pPr>
        <w:pStyle w:val="Caption"/>
      </w:pPr>
      <w:bookmarkStart w:id="2" w:name="_Ref4362297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201C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A45510">
        <w:t>Two-layer Hopping Pattern</w:t>
      </w:r>
    </w:p>
    <w:p w14:paraId="0358B442" w14:textId="6FF57B8F" w:rsidR="00AB5816" w:rsidRDefault="00602D06" w:rsidP="00E3170B">
      <w:pPr>
        <w:pStyle w:val="Heading1"/>
      </w:pPr>
      <w:bookmarkStart w:id="3" w:name="_Ref442101951"/>
      <w:r>
        <w:t xml:space="preserve">Outer </w:t>
      </w:r>
      <w:r w:rsidR="0084751E">
        <w:t>Layer H</w:t>
      </w:r>
      <w:r>
        <w:t>opping</w:t>
      </w:r>
      <w:bookmarkEnd w:id="3"/>
    </w:p>
    <w:p w14:paraId="1F65F4A9" w14:textId="3E276B97" w:rsidR="000201D3" w:rsidRPr="000201D3" w:rsidRDefault="000201D3" w:rsidP="000201D3">
      <w:r>
        <w:t xml:space="preserve">To support 35 km cell size, </w:t>
      </w:r>
      <w:r>
        <w:fldChar w:fldCharType="begin"/>
      </w:r>
      <w:r>
        <w:instrText xml:space="preserve"> REF _Ref436223730 \r \h </w:instrText>
      </w:r>
      <w:r>
        <w:fldChar w:fldCharType="separate"/>
      </w:r>
      <w:r w:rsidR="00E4201C">
        <w:t>[3]</w:t>
      </w:r>
      <w:r>
        <w:fldChar w:fldCharType="end"/>
      </w:r>
      <w:r>
        <w:t xml:space="preserve"> has proposed to limit the hopping distance to 1 tone. The contributions </w:t>
      </w:r>
      <w:r>
        <w:fldChar w:fldCharType="begin"/>
      </w:r>
      <w:r>
        <w:instrText xml:space="preserve"> REF _Ref441075636 \r \h </w:instrText>
      </w:r>
      <w:r>
        <w:fldChar w:fldCharType="separate"/>
      </w:r>
      <w:r w:rsidR="00E4201C">
        <w:t>[6</w:t>
      </w:r>
      <w:proofErr w:type="gramStart"/>
      <w:r w:rsidR="00E4201C">
        <w:t>]</w:t>
      </w:r>
      <w:proofErr w:type="gramEnd"/>
      <w:r>
        <w:fldChar w:fldCharType="end"/>
      </w:r>
      <w:r>
        <w:fldChar w:fldCharType="begin"/>
      </w:r>
      <w:r>
        <w:instrText xml:space="preserve"> REF _Ref441075638 \r \h </w:instrText>
      </w:r>
      <w:r>
        <w:fldChar w:fldCharType="separate"/>
      </w:r>
      <w:r w:rsidR="00E4201C">
        <w:t>[7]</w:t>
      </w:r>
      <w:r>
        <w:fldChar w:fldCharType="end"/>
      </w:r>
      <w:r>
        <w:t xml:space="preserve"> have further proposed to use additional hopping sizes to improve time-of-arrival estimation accuracy. For example, </w:t>
      </w:r>
      <w:r>
        <w:fldChar w:fldCharType="begin"/>
      </w:r>
      <w:r>
        <w:instrText xml:space="preserve"> REF _Ref441075636 \r \h </w:instrText>
      </w:r>
      <w:r>
        <w:fldChar w:fldCharType="separate"/>
      </w:r>
      <w:r w:rsidR="00E4201C">
        <w:t>[6]</w:t>
      </w:r>
      <w:r>
        <w:fldChar w:fldCharType="end"/>
      </w:r>
      <w:r>
        <w:t xml:space="preserve"> has proposed to use an additional 6-tone hopping on top of the one-tone hopping proposed in </w:t>
      </w:r>
      <w:r>
        <w:fldChar w:fldCharType="begin"/>
      </w:r>
      <w:r>
        <w:instrText xml:space="preserve"> REF _Ref436223730 \r \h </w:instrText>
      </w:r>
      <w:r>
        <w:fldChar w:fldCharType="separate"/>
      </w:r>
      <w:r w:rsidR="00E4201C">
        <w:t>[3]</w:t>
      </w:r>
      <w:r>
        <w:fldChar w:fldCharType="end"/>
      </w:r>
      <w:r>
        <w:t xml:space="preserve">. The contribution </w:t>
      </w:r>
      <w:r>
        <w:fldChar w:fldCharType="begin"/>
      </w:r>
      <w:r>
        <w:instrText xml:space="preserve"> REF _Ref441075638 \r \h </w:instrText>
      </w:r>
      <w:r>
        <w:fldChar w:fldCharType="separate"/>
      </w:r>
      <w:r w:rsidR="00E4201C">
        <w:t>[7]</w:t>
      </w:r>
      <w:r>
        <w:fldChar w:fldCharType="end"/>
      </w:r>
      <w:r>
        <w:t xml:space="preserve"> has provided initial results about how the values of the second hopping affect the time-of-arrival estimation accuracy. It is observed in </w:t>
      </w:r>
      <w:r>
        <w:fldChar w:fldCharType="begin"/>
      </w:r>
      <w:r>
        <w:instrText xml:space="preserve"> REF _Ref441075638 \r \h </w:instrText>
      </w:r>
      <w:r>
        <w:fldChar w:fldCharType="separate"/>
      </w:r>
      <w:r w:rsidR="00E4201C">
        <w:t>[7]</w:t>
      </w:r>
      <w:r>
        <w:fldChar w:fldCharType="end"/>
      </w:r>
      <w:r>
        <w:t xml:space="preserve"> that “</w:t>
      </w:r>
      <w:r w:rsidRPr="00FD64A8">
        <w:rPr>
          <w:i/>
        </w:rPr>
        <w:t xml:space="preserve">With increased tone hopping value 2, the </w:t>
      </w:r>
      <w:proofErr w:type="spellStart"/>
      <w:r w:rsidRPr="00FD64A8">
        <w:rPr>
          <w:i/>
        </w:rPr>
        <w:t>center</w:t>
      </w:r>
      <w:proofErr w:type="spellEnd"/>
      <w:r w:rsidRPr="00FD64A8">
        <w:rPr>
          <w:i/>
        </w:rPr>
        <w:t xml:space="preserve"> of CDF is improved but the tail is also elevated.</w:t>
      </w:r>
      <w:r>
        <w:t xml:space="preserve">” The last problem can be solved if an optimized hopping pattern is used, as detailed in the following. </w:t>
      </w:r>
    </w:p>
    <w:p w14:paraId="0DF16918" w14:textId="3E2266EB" w:rsidR="00BC10B1" w:rsidRDefault="000201D3" w:rsidP="00BC10B1">
      <w:pPr>
        <w:pStyle w:val="Heading2"/>
      </w:pPr>
      <w:r>
        <w:t xml:space="preserve">Benefits of </w:t>
      </w:r>
      <w:r w:rsidR="0051464C">
        <w:t>Reu</w:t>
      </w:r>
      <w:r>
        <w:t>sing LTE Type Pseudo Random Hopping</w:t>
      </w:r>
    </w:p>
    <w:p w14:paraId="665FFB3E" w14:textId="1E226A40" w:rsidR="007009BE" w:rsidRDefault="004526D4" w:rsidP="007009BE">
      <w:r>
        <w:t xml:space="preserve">Instead of using additional fixed size hopping on top of the one-tone hopping, it may be more beneficial and flexible to use </w:t>
      </w:r>
      <w:r w:rsidR="009B55AA">
        <w:t>pseudo random</w:t>
      </w:r>
      <w:r w:rsidR="00E75BB3">
        <w:t xml:space="preserve"> hopping on top of the fixed size</w:t>
      </w:r>
      <w:r>
        <w:t xml:space="preserve"> hopping. The </w:t>
      </w:r>
      <w:r w:rsidR="009B55AA">
        <w:t>pseudo random</w:t>
      </w:r>
      <w:r>
        <w:t xml:space="preserve"> hopping may be equivalently </w:t>
      </w:r>
      <w:r w:rsidR="000B1BC6">
        <w:t>considered</w:t>
      </w:r>
      <w:r>
        <w:t xml:space="preserve"> as using multiple</w:t>
      </w:r>
      <w:r w:rsidR="000E2254">
        <w:t xml:space="preserve"> predetermined</w:t>
      </w:r>
      <w:r>
        <w:t xml:space="preserve"> hopping</w:t>
      </w:r>
      <w:r w:rsidR="00527F9E">
        <w:t xml:space="preserve"> sizes</w:t>
      </w:r>
      <w:r w:rsidR="009D563B">
        <w:t xml:space="preserve"> (which are determined by specified pseudo random formulas)</w:t>
      </w:r>
      <w:r w:rsidR="00527F9E">
        <w:t>.</w:t>
      </w:r>
      <w:r w:rsidR="00957E56">
        <w:t xml:space="preserve"> Logically, </w:t>
      </w:r>
      <w:r w:rsidR="009B55AA">
        <w:t>pseudo random</w:t>
      </w:r>
      <w:r w:rsidR="00957E56">
        <w:t xml:space="preserve"> hopping may also </w:t>
      </w:r>
      <w:r w:rsidR="001A4A31">
        <w:t xml:space="preserve">be thought of as a type of cell </w:t>
      </w:r>
      <w:r w:rsidR="00957E56">
        <w:t>specific CDM</w:t>
      </w:r>
      <w:r w:rsidR="001A4A31">
        <w:t xml:space="preserve"> if the hopping is cell specific</w:t>
      </w:r>
      <w:r w:rsidR="00957E56">
        <w:t xml:space="preserve">. </w:t>
      </w:r>
      <w:r w:rsidR="00527F9E">
        <w:t>The benefits of</w:t>
      </w:r>
      <w:r w:rsidR="00E25687">
        <w:t xml:space="preserve"> using</w:t>
      </w:r>
      <w:r w:rsidR="00527F9E">
        <w:t xml:space="preserve"> </w:t>
      </w:r>
      <w:r w:rsidR="009B55AA">
        <w:t>pseudo random</w:t>
      </w:r>
      <w:r w:rsidR="00527F9E">
        <w:t xml:space="preserve"> hopping</w:t>
      </w:r>
      <w:r w:rsidR="00E25687">
        <w:t xml:space="preserve"> on top of fixed size hopping</w:t>
      </w:r>
      <w:r w:rsidR="00C1671F">
        <w:t xml:space="preserve"> for NB-PRACH</w:t>
      </w:r>
      <w:r w:rsidR="00527F9E">
        <w:t xml:space="preserve"> are summarized as follows. </w:t>
      </w:r>
      <w:r>
        <w:t xml:space="preserve">  </w:t>
      </w:r>
    </w:p>
    <w:p w14:paraId="154ECE67" w14:textId="2B63F34B" w:rsidR="009C515F" w:rsidRPr="0084188F" w:rsidRDefault="009B55AA" w:rsidP="009C515F">
      <w:pPr>
        <w:pStyle w:val="ListParagraph"/>
        <w:numPr>
          <w:ilvl w:val="0"/>
          <w:numId w:val="18"/>
        </w:numPr>
        <w:rPr>
          <w:b/>
          <w:lang w:eastAsia="ko-KR"/>
        </w:rPr>
      </w:pPr>
      <w:r>
        <w:rPr>
          <w:b/>
          <w:lang w:eastAsia="ko-KR"/>
        </w:rPr>
        <w:t>Pseudo random</w:t>
      </w:r>
      <w:r w:rsidR="009C515F" w:rsidRPr="0084188F">
        <w:rPr>
          <w:b/>
          <w:lang w:eastAsia="ko-KR"/>
        </w:rPr>
        <w:t xml:space="preserve"> hopping can solve the elevated tail issues (identified in </w:t>
      </w:r>
      <w:r w:rsidR="009C515F" w:rsidRPr="0084188F">
        <w:rPr>
          <w:b/>
          <w:lang w:eastAsia="ko-KR"/>
        </w:rPr>
        <w:fldChar w:fldCharType="begin"/>
      </w:r>
      <w:r w:rsidR="009C515F" w:rsidRPr="0084188F">
        <w:rPr>
          <w:b/>
          <w:lang w:eastAsia="ko-KR"/>
        </w:rPr>
        <w:instrText xml:space="preserve"> REF _Ref441075638 \r \h </w:instrText>
      </w:r>
      <w:r w:rsidR="009C515F">
        <w:rPr>
          <w:b/>
          <w:lang w:eastAsia="ko-KR"/>
        </w:rPr>
        <w:instrText xml:space="preserve"> \* MERGEFORMAT </w:instrText>
      </w:r>
      <w:r w:rsidR="009C515F" w:rsidRPr="0084188F">
        <w:rPr>
          <w:b/>
          <w:lang w:eastAsia="ko-KR"/>
        </w:rPr>
      </w:r>
      <w:r w:rsidR="009C515F" w:rsidRPr="0084188F">
        <w:rPr>
          <w:b/>
          <w:lang w:eastAsia="ko-KR"/>
        </w:rPr>
        <w:fldChar w:fldCharType="separate"/>
      </w:r>
      <w:r w:rsidR="00E4201C">
        <w:rPr>
          <w:b/>
          <w:lang w:eastAsia="ko-KR"/>
        </w:rPr>
        <w:t>[7]</w:t>
      </w:r>
      <w:r w:rsidR="009C515F" w:rsidRPr="0084188F">
        <w:rPr>
          <w:b/>
          <w:lang w:eastAsia="ko-KR"/>
        </w:rPr>
        <w:fldChar w:fldCharType="end"/>
      </w:r>
      <w:r w:rsidR="009C515F" w:rsidRPr="0084188F">
        <w:rPr>
          <w:b/>
          <w:lang w:eastAsia="ko-KR"/>
        </w:rPr>
        <w:t>) and has the potential of providing more accurate time-of-arrival estimation accuracy.</w:t>
      </w:r>
    </w:p>
    <w:p w14:paraId="0B50EFE8" w14:textId="77777777" w:rsidR="009C515F" w:rsidRDefault="009C515F" w:rsidP="009C515F">
      <w:pPr>
        <w:pStyle w:val="ListParagraph"/>
        <w:rPr>
          <w:lang w:eastAsia="ko-KR"/>
        </w:rPr>
      </w:pPr>
    </w:p>
    <w:p w14:paraId="3B104A62" w14:textId="28D5FB6A" w:rsidR="009C515F" w:rsidRDefault="009C515F" w:rsidP="009C515F">
      <w:pPr>
        <w:pStyle w:val="ListParagraph"/>
      </w:pPr>
      <w:r>
        <w:rPr>
          <w:lang w:eastAsia="ko-KR"/>
        </w:rPr>
        <w:t xml:space="preserve">It is well known that the timing estimation accuracy is inversely proportional to the signal bandwidth. However, it is observed in </w:t>
      </w:r>
      <w:r>
        <w:fldChar w:fldCharType="begin"/>
      </w:r>
      <w:r>
        <w:instrText xml:space="preserve"> REF _Ref441075638 \r \h </w:instrText>
      </w:r>
      <w:r>
        <w:fldChar w:fldCharType="separate"/>
      </w:r>
      <w:r w:rsidR="00E4201C">
        <w:t>[7]</w:t>
      </w:r>
      <w:r>
        <w:fldChar w:fldCharType="end"/>
      </w:r>
      <w:r>
        <w:t xml:space="preserve"> that “</w:t>
      </w:r>
      <w:r w:rsidRPr="00FD64A8">
        <w:rPr>
          <w:i/>
        </w:rPr>
        <w:t xml:space="preserve">With increased tone hopping value 2, the </w:t>
      </w:r>
      <w:proofErr w:type="spellStart"/>
      <w:r w:rsidRPr="00FD64A8">
        <w:rPr>
          <w:i/>
        </w:rPr>
        <w:t>center</w:t>
      </w:r>
      <w:proofErr w:type="spellEnd"/>
      <w:r w:rsidRPr="00FD64A8">
        <w:rPr>
          <w:i/>
        </w:rPr>
        <w:t xml:space="preserve"> of CDF is improved but the tail is also elevated.</w:t>
      </w:r>
      <w:r>
        <w:t>” T</w:t>
      </w:r>
      <w:r w:rsidR="00011A8E">
        <w:t xml:space="preserve">his seems to contract the </w:t>
      </w:r>
      <w:r>
        <w:t>conventional intuition. We explored this issue and found that the phenomenon is due to the f</w:t>
      </w:r>
      <w:r w:rsidR="00FE5C4A">
        <w:t>ixed hopping value in the second level</w:t>
      </w:r>
      <w:r>
        <w:t xml:space="preserve">. </w:t>
      </w:r>
      <w:r w:rsidR="00011A8E">
        <w:t xml:space="preserve">This issue can be solved by </w:t>
      </w:r>
      <w:r w:rsidR="009B55AA">
        <w:t>pseudo random</w:t>
      </w:r>
      <w:r w:rsidR="00011A8E">
        <w:t xml:space="preserve"> hopping, as shown in </w:t>
      </w:r>
      <w:r w:rsidR="00011A8E">
        <w:fldChar w:fldCharType="begin"/>
      </w:r>
      <w:r w:rsidR="00011A8E">
        <w:instrText xml:space="preserve"> REF _Ref441160212 \h </w:instrText>
      </w:r>
      <w:r w:rsidR="00011A8E">
        <w:fldChar w:fldCharType="separate"/>
      </w:r>
      <w:r w:rsidR="00E4201C">
        <w:t xml:space="preserve">Figure </w:t>
      </w:r>
      <w:r w:rsidR="00E4201C">
        <w:rPr>
          <w:noProof/>
        </w:rPr>
        <w:t>2</w:t>
      </w:r>
      <w:r w:rsidR="00011A8E">
        <w:fldChar w:fldCharType="end"/>
      </w:r>
      <w:r w:rsidR="00011A8E">
        <w:t>.</w:t>
      </w:r>
      <w:r w:rsidR="001867BC">
        <w:t xml:space="preserve"> </w:t>
      </w:r>
      <w:r w:rsidR="00235F52">
        <w:t>Specifically, due to 2*Pi phase rotation ambiguity, hopping by more than one tone can introduce side peaks</w:t>
      </w:r>
      <w:r w:rsidR="008E4174">
        <w:t xml:space="preserve"> with 35 km cell size. The larger the second level hopping value, the more the side peaks, as shown in the upper figures in </w:t>
      </w:r>
      <w:r w:rsidR="008E4174">
        <w:fldChar w:fldCharType="begin"/>
      </w:r>
      <w:r w:rsidR="008E4174">
        <w:instrText xml:space="preserve"> REF _Ref441160212 \h </w:instrText>
      </w:r>
      <w:r w:rsidR="008E4174">
        <w:fldChar w:fldCharType="separate"/>
      </w:r>
      <w:r w:rsidR="00E4201C">
        <w:t xml:space="preserve">Figure </w:t>
      </w:r>
      <w:r w:rsidR="00E4201C">
        <w:rPr>
          <w:noProof/>
        </w:rPr>
        <w:t>2</w:t>
      </w:r>
      <w:r w:rsidR="008E4174">
        <w:fldChar w:fldCharType="end"/>
      </w:r>
      <w:r w:rsidR="008E4174">
        <w:t>. These side peaks cause estimation errors and lead to</w:t>
      </w:r>
      <w:r w:rsidR="00FE5CF1">
        <w:t xml:space="preserve"> the</w:t>
      </w:r>
      <w:r w:rsidR="008E4174">
        <w:t xml:space="preserve"> elevated error tails. In contrast, </w:t>
      </w:r>
      <w:r w:rsidR="009B55AA">
        <w:t>pseudo random</w:t>
      </w:r>
      <w:r w:rsidR="008E4174">
        <w:t xml:space="preserve"> hopping solves this issue, as shown in the bottom figures in </w:t>
      </w:r>
      <w:r w:rsidR="008E4174">
        <w:fldChar w:fldCharType="begin"/>
      </w:r>
      <w:r w:rsidR="008E4174">
        <w:instrText xml:space="preserve"> REF _Ref441160212 \h </w:instrText>
      </w:r>
      <w:r w:rsidR="008E4174">
        <w:fldChar w:fldCharType="separate"/>
      </w:r>
      <w:r w:rsidR="00E4201C">
        <w:t xml:space="preserve">Figure </w:t>
      </w:r>
      <w:r w:rsidR="00E4201C">
        <w:rPr>
          <w:noProof/>
        </w:rPr>
        <w:lastRenderedPageBreak/>
        <w:t>2</w:t>
      </w:r>
      <w:r w:rsidR="008E4174">
        <w:fldChar w:fldCharType="end"/>
      </w:r>
      <w:r w:rsidR="008E4174">
        <w:t xml:space="preserve">. Further, the wider the </w:t>
      </w:r>
      <w:r w:rsidR="009B55AA">
        <w:t>pseudo random</w:t>
      </w:r>
      <w:r w:rsidR="008E4174">
        <w:t xml:space="preserve"> hopping range, the narrower the correlation peak (and thus</w:t>
      </w:r>
      <w:r w:rsidR="002B47D6">
        <w:t xml:space="preserve"> potentially</w:t>
      </w:r>
      <w:r w:rsidR="008E4174">
        <w:t xml:space="preserve"> the more accurate the estimation would be). This matches the conventional wisdom that a signal of wider bandwidth can enable better timing estimation performance.  </w:t>
      </w:r>
    </w:p>
    <w:p w14:paraId="262E67BE" w14:textId="361AF5A8" w:rsidR="009C515F" w:rsidRDefault="009C515F" w:rsidP="009C515F">
      <w:pPr>
        <w:pStyle w:val="ListParagraph"/>
      </w:pPr>
      <w:r>
        <w:t xml:space="preserve">  </w:t>
      </w:r>
    </w:p>
    <w:p w14:paraId="54AA8663" w14:textId="56990599" w:rsidR="009C515F" w:rsidRDefault="003D24E7" w:rsidP="009C515F">
      <w:pPr>
        <w:pStyle w:val="ListParagraph"/>
      </w:pPr>
      <w:r>
        <w:rPr>
          <w:noProof/>
          <w:lang w:val="en-US"/>
        </w:rPr>
        <w:drawing>
          <wp:inline distT="0" distB="0" distL="0" distR="0" wp14:anchorId="0993BAB6" wp14:editId="2ACD9080">
            <wp:extent cx="2684679" cy="2883514"/>
            <wp:effectExtent l="0" t="0" r="1905" b="0"/>
            <wp:docPr id="10" name="Picture 10" descr="C:\local_data\MassiveMTC\MyDocs\RAN1_84\correlatio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local_data\MassiveMTC\MyDocs\RAN1_84\correlation_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714" cy="288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D06FD3E" wp14:editId="0690B117">
            <wp:extent cx="2703880" cy="2904135"/>
            <wp:effectExtent l="0" t="0" r="1270" b="0"/>
            <wp:docPr id="11" name="Picture 11" descr="C:\local_data\MassiveMTC\MyDocs\RAN1_84\correlatio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local_data\MassiveMTC\MyDocs\RAN1_84\correlation_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27" cy="290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F10">
        <w:rPr>
          <w:noProof/>
          <w:lang w:val="en-US"/>
        </w:rPr>
        <w:drawing>
          <wp:inline distT="0" distB="0" distL="0" distR="0" wp14:anchorId="4778B45F" wp14:editId="0AF5FF95">
            <wp:extent cx="2735885" cy="2938510"/>
            <wp:effectExtent l="0" t="0" r="7620" b="0"/>
            <wp:docPr id="14" name="Picture 14" descr="C:\local_data\MassiveMTC\MyDocs\RAN1_84\correlation_long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local_data\MassiveMTC\MyDocs\RAN1_84\correlation_long_1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218" cy="294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755CB74" wp14:editId="3F962C34">
            <wp:extent cx="2743200" cy="2946368"/>
            <wp:effectExtent l="0" t="0" r="0" b="6985"/>
            <wp:docPr id="12" name="Picture 12" descr="C:\local_data\MassiveMTC\MyDocs\RAN1_84\correlatio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local_data\MassiveMTC\MyDocs\RAN1_84\correlation_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1" cy="2946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02596" w14:textId="4AE8878F" w:rsidR="009C515F" w:rsidRPr="00360CCF" w:rsidRDefault="009C515F" w:rsidP="00360CCF">
      <w:pPr>
        <w:pStyle w:val="Caption"/>
      </w:pPr>
      <w:bookmarkStart w:id="4" w:name="_Ref4411602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201C">
        <w:rPr>
          <w:noProof/>
        </w:rPr>
        <w:t>2</w:t>
      </w:r>
      <w:r>
        <w:fldChar w:fldCharType="end"/>
      </w:r>
      <w:bookmarkEnd w:id="4"/>
      <w:r w:rsidR="000D3E6A">
        <w:t>:</w:t>
      </w:r>
      <w:r w:rsidR="00E25C4A">
        <w:t xml:space="preserve"> </w:t>
      </w:r>
      <w:r w:rsidR="000B1BC6">
        <w:t>An illustration of the i</w:t>
      </w:r>
      <w:r w:rsidR="00E25C4A">
        <w:t>mpact of hopping patterns on re</w:t>
      </w:r>
      <w:r w:rsidR="00A5294F">
        <w:t>ceiver’s correlation statistics:</w:t>
      </w:r>
      <w:r w:rsidR="00E25C4A">
        <w:t xml:space="preserve"> </w:t>
      </w:r>
      <w:r w:rsidR="00A5294F">
        <w:t xml:space="preserve">Long preamble for users with 164 dB MCL. </w:t>
      </w:r>
      <w:r w:rsidR="00E25C4A">
        <w:t>Detailed configuration</w:t>
      </w:r>
      <w:r w:rsidR="00CB0372">
        <w:t xml:space="preserve"> parameters</w:t>
      </w:r>
      <w:r w:rsidR="004D7469">
        <w:t xml:space="preserve"> </w:t>
      </w:r>
      <w:r w:rsidR="00CB0372">
        <w:t>are</w:t>
      </w:r>
      <w:r w:rsidR="00D63123">
        <w:t xml:space="preserve"> given in Section </w:t>
      </w:r>
      <w:r w:rsidR="00D63123">
        <w:fldChar w:fldCharType="begin"/>
      </w:r>
      <w:r w:rsidR="00D63123">
        <w:instrText xml:space="preserve"> REF _Ref441233952 \r \h </w:instrText>
      </w:r>
      <w:r w:rsidR="00D63123">
        <w:fldChar w:fldCharType="separate"/>
      </w:r>
      <w:r w:rsidR="00E4201C">
        <w:rPr>
          <w:b w:val="0"/>
          <w:bCs w:val="0"/>
          <w:lang w:val="en-US"/>
        </w:rPr>
        <w:t>Error! Reference source not found.</w:t>
      </w:r>
      <w:r w:rsidR="00D63123">
        <w:fldChar w:fldCharType="end"/>
      </w:r>
      <w:r w:rsidR="00E25C4A">
        <w:t xml:space="preserve">. </w:t>
      </w:r>
      <w:r w:rsidR="000D3E6A">
        <w:t xml:space="preserve"> </w:t>
      </w:r>
      <w:r>
        <w:t xml:space="preserve"> </w:t>
      </w:r>
      <w:r>
        <w:rPr>
          <w:lang w:eastAsia="ko-KR"/>
        </w:rPr>
        <w:t xml:space="preserve">   </w:t>
      </w:r>
    </w:p>
    <w:p w14:paraId="04D4FD05" w14:textId="7CE29C1F" w:rsidR="00A07F09" w:rsidRPr="00A07F09" w:rsidRDefault="009B55AA" w:rsidP="00527F9E">
      <w:pPr>
        <w:pStyle w:val="ListParagraph"/>
        <w:numPr>
          <w:ilvl w:val="0"/>
          <w:numId w:val="18"/>
        </w:numPr>
        <w:rPr>
          <w:b/>
          <w:lang w:eastAsia="ko-KR"/>
        </w:rPr>
      </w:pPr>
      <w:r>
        <w:rPr>
          <w:b/>
          <w:lang w:eastAsia="ko-KR"/>
        </w:rPr>
        <w:t>Pseudo random</w:t>
      </w:r>
      <w:r w:rsidR="00A07F09" w:rsidRPr="00A07F09">
        <w:rPr>
          <w:b/>
          <w:lang w:eastAsia="ko-KR"/>
        </w:rPr>
        <w:t xml:space="preserve"> hopping is already in LTE, which can be reused for NB-PRACH. </w:t>
      </w:r>
    </w:p>
    <w:p w14:paraId="6CD9B209" w14:textId="77777777" w:rsidR="00A07F09" w:rsidRDefault="00A07F09" w:rsidP="00A07F09">
      <w:pPr>
        <w:pStyle w:val="ListParagraph"/>
        <w:rPr>
          <w:lang w:eastAsia="ko-KR"/>
        </w:rPr>
      </w:pPr>
    </w:p>
    <w:p w14:paraId="722AFC54" w14:textId="6DEF70D7" w:rsidR="00A07F09" w:rsidRDefault="009B55AA" w:rsidP="00475C71">
      <w:pPr>
        <w:pStyle w:val="ListParagraph"/>
        <w:rPr>
          <w:lang w:eastAsia="ko-KR"/>
        </w:rPr>
      </w:pPr>
      <w:r>
        <w:rPr>
          <w:lang w:eastAsia="ko-KR"/>
        </w:rPr>
        <w:t>Pseudo random</w:t>
      </w:r>
      <w:r w:rsidR="00A07F09">
        <w:rPr>
          <w:lang w:eastAsia="ko-KR"/>
        </w:rPr>
        <w:t xml:space="preserve"> hopping has been introduced in LTE since Release 8. It is well understood and should be reused for NB-</w:t>
      </w:r>
      <w:proofErr w:type="spellStart"/>
      <w:r w:rsidR="00A07F09">
        <w:rPr>
          <w:lang w:eastAsia="ko-KR"/>
        </w:rPr>
        <w:t>IoT</w:t>
      </w:r>
      <w:proofErr w:type="spellEnd"/>
      <w:r w:rsidR="00A07F09">
        <w:rPr>
          <w:lang w:eastAsia="ko-KR"/>
        </w:rPr>
        <w:t xml:space="preserve"> when applicable. For NB-PRACH, </w:t>
      </w:r>
      <w:r w:rsidR="00D5046B">
        <w:rPr>
          <w:lang w:eastAsia="ko-KR"/>
        </w:rPr>
        <w:t xml:space="preserve">a </w:t>
      </w:r>
      <w:r>
        <w:rPr>
          <w:lang w:eastAsia="ko-KR"/>
        </w:rPr>
        <w:t>pseudo random</w:t>
      </w:r>
      <w:r w:rsidR="00D5046B">
        <w:rPr>
          <w:lang w:eastAsia="ko-KR"/>
        </w:rPr>
        <w:t xml:space="preserve"> hopping similar to LTE</w:t>
      </w:r>
      <w:r w:rsidR="00A07F09">
        <w:rPr>
          <w:lang w:eastAsia="ko-KR"/>
        </w:rPr>
        <w:t xml:space="preserve"> PUSCH</w:t>
      </w:r>
      <w:r w:rsidR="00D5046B">
        <w:rPr>
          <w:lang w:eastAsia="ko-KR"/>
        </w:rPr>
        <w:t xml:space="preserve"> type</w:t>
      </w:r>
      <w:r w:rsidR="005C5476">
        <w:rPr>
          <w:lang w:eastAsia="ko-KR"/>
        </w:rPr>
        <w:t xml:space="preserve"> 2</w:t>
      </w:r>
      <w:r w:rsidR="00D5046B">
        <w:rPr>
          <w:lang w:eastAsia="ko-KR"/>
        </w:rPr>
        <w:t xml:space="preserve"> hopping (see TS 36.211 </w:t>
      </w:r>
      <w:r w:rsidR="00D5046B">
        <w:rPr>
          <w:lang w:eastAsia="ko-KR"/>
        </w:rPr>
        <w:fldChar w:fldCharType="begin"/>
      </w:r>
      <w:r w:rsidR="00D5046B">
        <w:rPr>
          <w:lang w:eastAsia="ko-KR"/>
        </w:rPr>
        <w:instrText xml:space="preserve"> REF _Ref441153767 \r \h </w:instrText>
      </w:r>
      <w:r w:rsidR="00D5046B">
        <w:rPr>
          <w:lang w:eastAsia="ko-KR"/>
        </w:rPr>
      </w:r>
      <w:r w:rsidR="00D5046B">
        <w:rPr>
          <w:lang w:eastAsia="ko-KR"/>
        </w:rPr>
        <w:fldChar w:fldCharType="separate"/>
      </w:r>
      <w:r w:rsidR="00E4201C">
        <w:rPr>
          <w:lang w:eastAsia="ko-KR"/>
        </w:rPr>
        <w:t>[8]</w:t>
      </w:r>
      <w:r w:rsidR="00D5046B">
        <w:rPr>
          <w:lang w:eastAsia="ko-KR"/>
        </w:rPr>
        <w:fldChar w:fldCharType="end"/>
      </w:r>
      <w:r w:rsidR="00D5046B">
        <w:rPr>
          <w:lang w:eastAsia="ko-KR"/>
        </w:rPr>
        <w:t xml:space="preserve"> and TS 36.213 </w:t>
      </w:r>
      <w:r w:rsidR="00D5046B">
        <w:rPr>
          <w:lang w:eastAsia="ko-KR"/>
        </w:rPr>
        <w:fldChar w:fldCharType="begin"/>
      </w:r>
      <w:r w:rsidR="00D5046B">
        <w:rPr>
          <w:lang w:eastAsia="ko-KR"/>
        </w:rPr>
        <w:instrText xml:space="preserve"> REF _Ref441153778 \r \h </w:instrText>
      </w:r>
      <w:r w:rsidR="00D5046B">
        <w:rPr>
          <w:lang w:eastAsia="ko-KR"/>
        </w:rPr>
      </w:r>
      <w:r w:rsidR="00D5046B">
        <w:rPr>
          <w:lang w:eastAsia="ko-KR"/>
        </w:rPr>
        <w:fldChar w:fldCharType="separate"/>
      </w:r>
      <w:r w:rsidR="00E4201C">
        <w:rPr>
          <w:lang w:eastAsia="ko-KR"/>
        </w:rPr>
        <w:t>[9]</w:t>
      </w:r>
      <w:r w:rsidR="00D5046B">
        <w:rPr>
          <w:lang w:eastAsia="ko-KR"/>
        </w:rPr>
        <w:fldChar w:fldCharType="end"/>
      </w:r>
      <w:r w:rsidR="008A2BF1">
        <w:rPr>
          <w:lang w:eastAsia="ko-KR"/>
        </w:rPr>
        <w:t xml:space="preserve">) </w:t>
      </w:r>
      <w:r w:rsidR="00D5046B">
        <w:rPr>
          <w:lang w:eastAsia="ko-KR"/>
        </w:rPr>
        <w:t>can be used on top of the fixed size (e.g., one tone) hopping.</w:t>
      </w:r>
      <w:r w:rsidR="003870D0">
        <w:rPr>
          <w:lang w:eastAsia="ko-KR"/>
        </w:rPr>
        <w:t xml:space="preserve"> </w:t>
      </w:r>
    </w:p>
    <w:p w14:paraId="63A8B702" w14:textId="77777777" w:rsidR="00A07F09" w:rsidRDefault="00A07F09" w:rsidP="00A07F09">
      <w:pPr>
        <w:pStyle w:val="ListParagraph"/>
        <w:rPr>
          <w:lang w:eastAsia="ko-KR"/>
        </w:rPr>
      </w:pPr>
    </w:p>
    <w:p w14:paraId="5265B4F9" w14:textId="488B9297" w:rsidR="00A07F09" w:rsidRPr="00475C71" w:rsidRDefault="009B55AA" w:rsidP="00A07F09">
      <w:pPr>
        <w:pStyle w:val="ListParagraph"/>
        <w:numPr>
          <w:ilvl w:val="0"/>
          <w:numId w:val="18"/>
        </w:numPr>
        <w:rPr>
          <w:b/>
          <w:lang w:eastAsia="ko-KR"/>
        </w:rPr>
      </w:pPr>
      <w:r>
        <w:rPr>
          <w:b/>
          <w:lang w:eastAsia="ko-KR"/>
        </w:rPr>
        <w:t>Pseudo random</w:t>
      </w:r>
      <w:r w:rsidR="00A07F09" w:rsidRPr="00475C71">
        <w:rPr>
          <w:b/>
          <w:lang w:eastAsia="ko-KR"/>
        </w:rPr>
        <w:t xml:space="preserve"> hopping mitigates inter-cell</w:t>
      </w:r>
      <w:r w:rsidR="00475C71">
        <w:rPr>
          <w:b/>
          <w:lang w:eastAsia="ko-KR"/>
        </w:rPr>
        <w:t xml:space="preserve"> and intra-cell</w:t>
      </w:r>
      <w:r w:rsidR="00A07F09" w:rsidRPr="00475C71">
        <w:rPr>
          <w:b/>
          <w:lang w:eastAsia="ko-KR"/>
        </w:rPr>
        <w:t xml:space="preserve"> interference.</w:t>
      </w:r>
      <w:r w:rsidR="00475C71" w:rsidRPr="00475C71">
        <w:rPr>
          <w:b/>
          <w:lang w:eastAsia="ko-KR"/>
        </w:rPr>
        <w:t xml:space="preserve"> </w:t>
      </w:r>
    </w:p>
    <w:p w14:paraId="187448C9" w14:textId="77777777" w:rsidR="00A07F09" w:rsidRDefault="00A07F09" w:rsidP="00A07F09">
      <w:pPr>
        <w:pStyle w:val="ListParagraph"/>
        <w:rPr>
          <w:lang w:eastAsia="ko-KR"/>
        </w:rPr>
      </w:pPr>
    </w:p>
    <w:p w14:paraId="06D116D8" w14:textId="34A0AC87" w:rsidR="00475C71" w:rsidRDefault="00475C71" w:rsidP="0075005D">
      <w:pPr>
        <w:pStyle w:val="ListParagraph"/>
        <w:rPr>
          <w:lang w:eastAsia="ko-KR"/>
        </w:rPr>
      </w:pPr>
      <w:r>
        <w:rPr>
          <w:lang w:eastAsia="ko-KR"/>
        </w:rPr>
        <w:t xml:space="preserve">It is well known that cell-specific hopping can mitigate inter-cell interference. Without </w:t>
      </w:r>
      <w:r w:rsidR="009B55AA">
        <w:rPr>
          <w:lang w:eastAsia="ko-KR"/>
        </w:rPr>
        <w:t>pseudo random</w:t>
      </w:r>
      <w:r>
        <w:rPr>
          <w:lang w:eastAsia="ko-KR"/>
        </w:rPr>
        <w:t xml:space="preserve"> hopping, the NB-PRACH transmission</w:t>
      </w:r>
      <w:r w:rsidR="008A2BF1">
        <w:rPr>
          <w:lang w:eastAsia="ko-KR"/>
        </w:rPr>
        <w:t>s</w:t>
      </w:r>
      <w:r>
        <w:rPr>
          <w:lang w:eastAsia="ko-KR"/>
        </w:rPr>
        <w:t xml:space="preserve"> in one cell may cause persistent interference to the NB-PRACH and/or NB-PUSCH transmissions in the neighbouring cells. Persistent in</w:t>
      </w:r>
      <w:r w:rsidR="002C741C">
        <w:rPr>
          <w:lang w:eastAsia="ko-KR"/>
        </w:rPr>
        <w:t>ter</w:t>
      </w:r>
      <w:r>
        <w:rPr>
          <w:lang w:eastAsia="ko-KR"/>
        </w:rPr>
        <w:t>ference may exist even in the same cell</w:t>
      </w:r>
      <w:r w:rsidR="00D46392">
        <w:rPr>
          <w:lang w:eastAsia="ko-KR"/>
        </w:rPr>
        <w:t xml:space="preserve"> (among NB-PRACHs or between NB-PRACH and NB-PUSCH)</w:t>
      </w:r>
      <w:r>
        <w:rPr>
          <w:lang w:eastAsia="ko-KR"/>
        </w:rPr>
        <w:t xml:space="preserve">, because </w:t>
      </w:r>
      <w:r>
        <w:rPr>
          <w:lang w:eastAsia="ko-KR"/>
        </w:rPr>
        <w:lastRenderedPageBreak/>
        <w:t>(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) multiple </w:t>
      </w:r>
      <w:r w:rsidR="002C741C">
        <w:rPr>
          <w:lang w:eastAsia="ko-KR"/>
        </w:rPr>
        <w:t xml:space="preserve">intra-cell </w:t>
      </w:r>
      <w:r>
        <w:rPr>
          <w:lang w:eastAsia="ko-KR"/>
        </w:rPr>
        <w:t xml:space="preserve">NB-PRACH transmissions at the same time may not be fully orthogonal due to </w:t>
      </w:r>
      <w:r w:rsidR="0075005D">
        <w:rPr>
          <w:lang w:eastAsia="ko-KR"/>
        </w:rPr>
        <w:t xml:space="preserve">e.g. residual carrier frequency offsets, and (ii) </w:t>
      </w:r>
      <w:r>
        <w:rPr>
          <w:lang w:eastAsia="ko-KR"/>
        </w:rPr>
        <w:t>NB-PUSCH and NB-PRACH are</w:t>
      </w:r>
      <w:r w:rsidR="0075005D">
        <w:rPr>
          <w:lang w:eastAsia="ko-KR"/>
        </w:rPr>
        <w:t xml:space="preserve"> not orthogonal if they are</w:t>
      </w:r>
      <w:r>
        <w:rPr>
          <w:lang w:eastAsia="ko-KR"/>
        </w:rPr>
        <w:t xml:space="preserve"> </w:t>
      </w:r>
      <w:r w:rsidR="0075005D">
        <w:rPr>
          <w:lang w:eastAsia="ko-KR"/>
        </w:rPr>
        <w:t>frequency multiplexed.</w:t>
      </w:r>
      <w:r>
        <w:rPr>
          <w:lang w:eastAsia="ko-KR"/>
        </w:rPr>
        <w:t xml:space="preserve">   </w:t>
      </w:r>
    </w:p>
    <w:p w14:paraId="02AFEBB8" w14:textId="77777777" w:rsidR="00A07F09" w:rsidRDefault="00A07F09" w:rsidP="00A07F09">
      <w:pPr>
        <w:pStyle w:val="ListParagraph"/>
        <w:rPr>
          <w:lang w:eastAsia="ko-KR"/>
        </w:rPr>
      </w:pPr>
    </w:p>
    <w:p w14:paraId="157EA30D" w14:textId="646FE713" w:rsidR="00A07F09" w:rsidRPr="00957E56" w:rsidRDefault="009B55AA" w:rsidP="00A07F09">
      <w:pPr>
        <w:pStyle w:val="ListParagraph"/>
        <w:numPr>
          <w:ilvl w:val="0"/>
          <w:numId w:val="18"/>
        </w:numPr>
        <w:rPr>
          <w:b/>
          <w:lang w:eastAsia="ko-KR"/>
        </w:rPr>
      </w:pPr>
      <w:r>
        <w:rPr>
          <w:b/>
          <w:lang w:eastAsia="ko-KR"/>
        </w:rPr>
        <w:t>Pseudo random</w:t>
      </w:r>
      <w:r w:rsidR="00A07F09" w:rsidRPr="00957E56">
        <w:rPr>
          <w:b/>
          <w:lang w:eastAsia="ko-KR"/>
        </w:rPr>
        <w:t xml:space="preserve"> hopping increases NB-PRACH capacity.</w:t>
      </w:r>
      <w:r w:rsidR="00BD0E05" w:rsidRPr="00957E56">
        <w:rPr>
          <w:b/>
          <w:lang w:eastAsia="ko-KR"/>
        </w:rPr>
        <w:t xml:space="preserve"> </w:t>
      </w:r>
    </w:p>
    <w:p w14:paraId="04BFAFD5" w14:textId="77777777" w:rsidR="00BD0E05" w:rsidRDefault="00BD0E05" w:rsidP="00BD0E05">
      <w:pPr>
        <w:pStyle w:val="ListParagraph"/>
        <w:rPr>
          <w:lang w:eastAsia="ko-KR"/>
        </w:rPr>
      </w:pPr>
    </w:p>
    <w:p w14:paraId="29EE3E51" w14:textId="313474E7" w:rsidR="0086241A" w:rsidRDefault="00BD0E05" w:rsidP="0086241A">
      <w:pPr>
        <w:pStyle w:val="ListParagraph"/>
        <w:rPr>
          <w:lang w:eastAsia="ko-KR"/>
        </w:rPr>
      </w:pPr>
      <w:r>
        <w:rPr>
          <w:lang w:eastAsia="ko-KR"/>
        </w:rPr>
        <w:t xml:space="preserve">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_Ref441075636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4201C">
        <w:rPr>
          <w:lang w:eastAsia="ko-KR"/>
        </w:rPr>
        <w:t>[6]</w:t>
      </w:r>
      <w:r>
        <w:rPr>
          <w:lang w:eastAsia="ko-KR"/>
        </w:rPr>
        <w:fldChar w:fldCharType="end"/>
      </w:r>
      <w:r>
        <w:rPr>
          <w:lang w:eastAsia="ko-KR"/>
        </w:rPr>
        <w:t xml:space="preserve">, neighbouring cells configure different frequency resources for NB-PRACH. While this approach avoids inter-cell NB-PRACH interference, this </w:t>
      </w:r>
      <w:r w:rsidR="00FA36EB">
        <w:rPr>
          <w:lang w:eastAsia="ko-KR"/>
        </w:rPr>
        <w:t>may reduce</w:t>
      </w:r>
      <w:r w:rsidR="00957E56">
        <w:rPr>
          <w:lang w:eastAsia="ko-KR"/>
        </w:rPr>
        <w:t xml:space="preserve"> NB-PRACH capacity. In particular, according to the dimensioning in </w:t>
      </w:r>
      <w:r w:rsidR="00957E56">
        <w:rPr>
          <w:lang w:eastAsia="ko-KR"/>
        </w:rPr>
        <w:fldChar w:fldCharType="begin"/>
      </w:r>
      <w:r w:rsidR="00957E56">
        <w:rPr>
          <w:lang w:eastAsia="ko-KR"/>
        </w:rPr>
        <w:instrText xml:space="preserve"> REF _Ref441075636 \r \h </w:instrText>
      </w:r>
      <w:r w:rsidR="00957E56">
        <w:rPr>
          <w:lang w:eastAsia="ko-KR"/>
        </w:rPr>
      </w:r>
      <w:r w:rsidR="00957E56">
        <w:rPr>
          <w:lang w:eastAsia="ko-KR"/>
        </w:rPr>
        <w:fldChar w:fldCharType="separate"/>
      </w:r>
      <w:r w:rsidR="00E4201C">
        <w:rPr>
          <w:lang w:eastAsia="ko-KR"/>
        </w:rPr>
        <w:t>[6]</w:t>
      </w:r>
      <w:r w:rsidR="00957E56">
        <w:rPr>
          <w:lang w:eastAsia="ko-KR"/>
        </w:rPr>
        <w:fldChar w:fldCharType="end"/>
      </w:r>
      <w:r w:rsidR="00957E56">
        <w:rPr>
          <w:lang w:eastAsia="ko-KR"/>
        </w:rPr>
        <w:t>, there are only 12 tones (or equivalently, 12 preambles) in a cell. Note that each cell may reserv</w:t>
      </w:r>
      <w:r w:rsidR="006A7ABF">
        <w:rPr>
          <w:lang w:eastAsia="ko-KR"/>
        </w:rPr>
        <w:t xml:space="preserve">e some preambles for contention </w:t>
      </w:r>
      <w:r w:rsidR="00957E56">
        <w:rPr>
          <w:lang w:eastAsia="ko-KR"/>
        </w:rPr>
        <w:t xml:space="preserve">free </w:t>
      </w:r>
      <w:r w:rsidR="009B55AA">
        <w:rPr>
          <w:lang w:eastAsia="ko-KR"/>
        </w:rPr>
        <w:t>random</w:t>
      </w:r>
      <w:r w:rsidR="00957E56">
        <w:rPr>
          <w:lang w:eastAsia="ko-KR"/>
        </w:rPr>
        <w:t xml:space="preserve"> access. Also, if LTE type preamble partition was used to indicate information</w:t>
      </w:r>
      <w:r w:rsidR="00D50FC3">
        <w:rPr>
          <w:lang w:eastAsia="ko-KR"/>
        </w:rPr>
        <w:t xml:space="preserve"> in</w:t>
      </w:r>
      <w:r w:rsidR="00957E56">
        <w:rPr>
          <w:lang w:eastAsia="ko-KR"/>
        </w:rPr>
        <w:t xml:space="preserve"> Msg1, the number of available preambles would become even more limited</w:t>
      </w:r>
      <w:r w:rsidR="00D50FC3">
        <w:rPr>
          <w:lang w:eastAsia="ko-KR"/>
        </w:rPr>
        <w:t xml:space="preserve"> in each partitioned group</w:t>
      </w:r>
      <w:r w:rsidR="00957E56">
        <w:rPr>
          <w:lang w:eastAsia="ko-KR"/>
        </w:rPr>
        <w:t>.</w:t>
      </w:r>
      <w:r w:rsidR="005121D8">
        <w:rPr>
          <w:lang w:eastAsia="ko-KR"/>
        </w:rPr>
        <w:t xml:space="preserve"> Putting these together, NB-PRACH may </w:t>
      </w:r>
      <w:r w:rsidR="00957E56">
        <w:rPr>
          <w:lang w:eastAsia="ko-KR"/>
        </w:rPr>
        <w:t>become the bottleneck of the NB-</w:t>
      </w:r>
      <w:proofErr w:type="spellStart"/>
      <w:r w:rsidR="00957E56">
        <w:rPr>
          <w:lang w:eastAsia="ko-KR"/>
        </w:rPr>
        <w:t>IoT</w:t>
      </w:r>
      <w:proofErr w:type="spellEnd"/>
      <w:r w:rsidR="00957E56">
        <w:rPr>
          <w:lang w:eastAsia="ko-KR"/>
        </w:rPr>
        <w:t xml:space="preserve"> system</w:t>
      </w:r>
      <w:r w:rsidR="00AB095B">
        <w:rPr>
          <w:lang w:eastAsia="ko-KR"/>
        </w:rPr>
        <w:t xml:space="preserve"> if its resource is not carefully dimensioned</w:t>
      </w:r>
      <w:r w:rsidR="00957E56">
        <w:rPr>
          <w:lang w:eastAsia="ko-KR"/>
        </w:rPr>
        <w:t xml:space="preserve">. </w:t>
      </w:r>
    </w:p>
    <w:p w14:paraId="35469629" w14:textId="77777777" w:rsidR="0086241A" w:rsidRDefault="0086241A" w:rsidP="0086241A">
      <w:pPr>
        <w:pStyle w:val="ListParagraph"/>
        <w:rPr>
          <w:lang w:eastAsia="ko-KR"/>
        </w:rPr>
      </w:pPr>
    </w:p>
    <w:p w14:paraId="5BC98ACB" w14:textId="5E4768D0" w:rsidR="0084188F" w:rsidRDefault="0086241A" w:rsidP="009C515F">
      <w:pPr>
        <w:pStyle w:val="ListParagraph"/>
      </w:pPr>
      <w:r>
        <w:rPr>
          <w:lang w:eastAsia="ko-KR"/>
        </w:rPr>
        <w:t xml:space="preserve">As mentioned earlier, </w:t>
      </w:r>
      <w:r w:rsidR="009B55AA">
        <w:t>pseudo random</w:t>
      </w:r>
      <w:r>
        <w:t xml:space="preserve"> hopping may be thought of as a type of cell-specific CDM.</w:t>
      </w:r>
      <w:r w:rsidR="00442F8C">
        <w:t xml:space="preserve"> This CDM allows neighbouring cells to use the same frequency resources for NB-PRACH. This </w:t>
      </w:r>
      <w:r w:rsidR="004C6AA3">
        <w:t>greatly increases NB-PRACH capacity, compared to FDM</w:t>
      </w:r>
      <w:r w:rsidR="007005D7">
        <w:t xml:space="preserve"> of NB-PRACH</w:t>
      </w:r>
      <w:r w:rsidR="004C6AA3">
        <w:t xml:space="preserve"> </w:t>
      </w:r>
      <w:r w:rsidR="00675D3A">
        <w:t>among</w:t>
      </w:r>
      <w:r w:rsidR="004C6AA3">
        <w:t xml:space="preserve"> neighbouring cells. Specifically, with 180 kHz bandwidth and 3.75 kHz subcarrier spacing, up to 48 NB-PRACH preambles can be used in a cell.</w:t>
      </w:r>
    </w:p>
    <w:p w14:paraId="3860F55B" w14:textId="77777777" w:rsidR="0084188F" w:rsidRDefault="0084188F" w:rsidP="002B4366">
      <w:pPr>
        <w:pStyle w:val="ListParagraph"/>
        <w:rPr>
          <w:lang w:eastAsia="ko-KR"/>
        </w:rPr>
      </w:pPr>
    </w:p>
    <w:p w14:paraId="0A5A808A" w14:textId="73F85C4B" w:rsidR="002B4366" w:rsidRPr="002B4366" w:rsidRDefault="009B55AA" w:rsidP="002B4366">
      <w:pPr>
        <w:pStyle w:val="ListParagraph"/>
        <w:numPr>
          <w:ilvl w:val="0"/>
          <w:numId w:val="18"/>
        </w:numPr>
        <w:rPr>
          <w:b/>
          <w:lang w:eastAsia="ko-KR"/>
        </w:rPr>
      </w:pPr>
      <w:r>
        <w:rPr>
          <w:b/>
          <w:lang w:eastAsia="ko-KR"/>
        </w:rPr>
        <w:t>Pseudo random</w:t>
      </w:r>
      <w:r w:rsidR="00A07F09" w:rsidRPr="002B4366">
        <w:rPr>
          <w:b/>
          <w:lang w:eastAsia="ko-KR"/>
        </w:rPr>
        <w:t xml:space="preserve"> hopping provides more hopping flexibility and is more forward compatible.</w:t>
      </w:r>
    </w:p>
    <w:p w14:paraId="665AFF93" w14:textId="77777777" w:rsidR="002B4366" w:rsidRDefault="002B4366" w:rsidP="002B4366">
      <w:pPr>
        <w:pStyle w:val="ListParagraph"/>
        <w:rPr>
          <w:lang w:eastAsia="ko-KR"/>
        </w:rPr>
      </w:pPr>
    </w:p>
    <w:p w14:paraId="317CD1D6" w14:textId="6E9D5661" w:rsidR="00DE7A9D" w:rsidRDefault="00DE7A9D" w:rsidP="0084188F">
      <w:pPr>
        <w:pStyle w:val="ListParagraph"/>
        <w:rPr>
          <w:lang w:eastAsia="ko-KR"/>
        </w:rPr>
      </w:pPr>
      <w:r>
        <w:rPr>
          <w:lang w:eastAsia="ko-KR"/>
        </w:rPr>
        <w:t xml:space="preserve">The two-level hopping proposed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_Ref441075636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4201C">
        <w:rPr>
          <w:lang w:eastAsia="ko-KR"/>
        </w:rPr>
        <w:t>[6]</w:t>
      </w:r>
      <w:r>
        <w:rPr>
          <w:lang w:eastAsia="ko-KR"/>
        </w:rPr>
        <w:fldChar w:fldCharType="end"/>
      </w:r>
      <w:r>
        <w:rPr>
          <w:lang w:eastAsia="ko-KR"/>
        </w:rPr>
        <w:t xml:space="preserve"> imposes some restriction on possible </w:t>
      </w:r>
      <w:r w:rsidR="006A7ABF">
        <w:rPr>
          <w:lang w:eastAsia="ko-KR"/>
        </w:rPr>
        <w:t>NB-</w:t>
      </w:r>
      <w:r>
        <w:rPr>
          <w:lang w:eastAsia="ko-KR"/>
        </w:rPr>
        <w:t xml:space="preserve">PRACH resource configuration. In particular, the two-level hopping proposed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_Ref441075636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4201C">
        <w:rPr>
          <w:lang w:eastAsia="ko-KR"/>
        </w:rPr>
        <w:t>[6]</w:t>
      </w:r>
      <w:r>
        <w:rPr>
          <w:lang w:eastAsia="ko-KR"/>
        </w:rPr>
        <w:fldChar w:fldCharType="end"/>
      </w:r>
      <w:r>
        <w:rPr>
          <w:lang w:eastAsia="ko-KR"/>
        </w:rPr>
        <w:t xml:space="preserve"> always requires the </w:t>
      </w:r>
      <w:r w:rsidR="006A7ABF">
        <w:rPr>
          <w:lang w:eastAsia="ko-KR"/>
        </w:rPr>
        <w:t>NB-</w:t>
      </w:r>
      <w:r>
        <w:rPr>
          <w:lang w:eastAsia="ko-KR"/>
        </w:rPr>
        <w:t>PRACH band to have 12 tones, which is not flexible.</w:t>
      </w:r>
    </w:p>
    <w:p w14:paraId="4D56AFF5" w14:textId="77777777" w:rsidR="00DE7A9D" w:rsidRDefault="00DE7A9D" w:rsidP="0084188F">
      <w:pPr>
        <w:pStyle w:val="ListParagraph"/>
        <w:rPr>
          <w:lang w:eastAsia="ko-KR"/>
        </w:rPr>
      </w:pPr>
    </w:p>
    <w:p w14:paraId="665D5864" w14:textId="21B03DE9" w:rsidR="00187180" w:rsidRDefault="002B4366" w:rsidP="0084188F">
      <w:pPr>
        <w:pStyle w:val="ListParagraph"/>
        <w:rPr>
          <w:lang w:eastAsia="ko-KR"/>
        </w:rPr>
      </w:pPr>
      <w:r>
        <w:rPr>
          <w:lang w:eastAsia="ko-KR"/>
        </w:rPr>
        <w:t>In contrast to two-level hopping</w:t>
      </w:r>
      <w:r w:rsidR="009224A1">
        <w:rPr>
          <w:lang w:eastAsia="ko-KR"/>
        </w:rPr>
        <w:t xml:space="preserve"> with two fixed hopping sizes,</w:t>
      </w:r>
      <w:r>
        <w:rPr>
          <w:lang w:eastAsia="ko-KR"/>
        </w:rPr>
        <w:t xml:space="preserve"> </w:t>
      </w:r>
      <w:r w:rsidR="009B55AA">
        <w:rPr>
          <w:lang w:eastAsia="ko-KR"/>
        </w:rPr>
        <w:t>pseudo random</w:t>
      </w:r>
      <w:r>
        <w:rPr>
          <w:lang w:eastAsia="ko-KR"/>
        </w:rPr>
        <w:t xml:space="preserve"> hopping </w:t>
      </w:r>
      <w:r w:rsidR="008B4FEB">
        <w:rPr>
          <w:lang w:eastAsia="ko-KR"/>
        </w:rPr>
        <w:t>essentially</w:t>
      </w:r>
      <w:r>
        <w:rPr>
          <w:lang w:eastAsia="ko-KR"/>
        </w:rPr>
        <w:t xml:space="preserve"> uses multiple hopping sizes and is more flexible.</w:t>
      </w:r>
      <w:r w:rsidR="008B4FEB">
        <w:rPr>
          <w:lang w:eastAsia="ko-KR"/>
        </w:rPr>
        <w:t xml:space="preserve"> For example</w:t>
      </w:r>
      <w:r w:rsidR="00187180">
        <w:rPr>
          <w:lang w:eastAsia="ko-KR"/>
        </w:rPr>
        <w:t>,</w:t>
      </w:r>
      <w:r>
        <w:rPr>
          <w:lang w:eastAsia="ko-KR"/>
        </w:rPr>
        <w:t xml:space="preserve"> </w:t>
      </w:r>
      <w:r w:rsidR="00187180">
        <w:rPr>
          <w:lang w:eastAsia="ko-KR"/>
        </w:rPr>
        <w:t xml:space="preserve">a cell may configure different NB-PRACH bandwidths. </w:t>
      </w:r>
      <w:r w:rsidR="008B4FEB">
        <w:rPr>
          <w:lang w:eastAsia="ko-KR"/>
        </w:rPr>
        <w:t xml:space="preserve">NB-PRACH transmission with one-level fixed hopping plus additional </w:t>
      </w:r>
      <w:r w:rsidR="009B55AA">
        <w:rPr>
          <w:lang w:eastAsia="ko-KR"/>
        </w:rPr>
        <w:t>pseudo random</w:t>
      </w:r>
      <w:r w:rsidR="00187180">
        <w:rPr>
          <w:lang w:eastAsia="ko-KR"/>
        </w:rPr>
        <w:t xml:space="preserve"> hopping can be readily sc</w:t>
      </w:r>
      <w:r w:rsidR="006A7ABF">
        <w:rPr>
          <w:lang w:eastAsia="ko-KR"/>
        </w:rPr>
        <w:t xml:space="preserve">aled as the bandwidth increases. If fixed-size two-level hopping is used, </w:t>
      </w:r>
      <w:r w:rsidR="00187180">
        <w:rPr>
          <w:lang w:eastAsia="ko-KR"/>
        </w:rPr>
        <w:t>many different hopping sizes</w:t>
      </w:r>
      <w:r w:rsidR="00BC5846">
        <w:rPr>
          <w:lang w:eastAsia="ko-KR"/>
        </w:rPr>
        <w:t xml:space="preserve"> may</w:t>
      </w:r>
      <w:r w:rsidR="00187180">
        <w:rPr>
          <w:lang w:eastAsia="ko-KR"/>
        </w:rPr>
        <w:t xml:space="preserve"> need to be </w:t>
      </w:r>
      <w:r w:rsidR="00D46392">
        <w:rPr>
          <w:lang w:eastAsia="ko-KR"/>
        </w:rPr>
        <w:t>defined.</w:t>
      </w:r>
    </w:p>
    <w:p w14:paraId="0CE1B7FD" w14:textId="77777777" w:rsidR="00187180" w:rsidRDefault="00187180" w:rsidP="0084188F">
      <w:pPr>
        <w:pStyle w:val="ListParagraph"/>
        <w:rPr>
          <w:lang w:eastAsia="ko-KR"/>
        </w:rPr>
      </w:pPr>
    </w:p>
    <w:p w14:paraId="4C0B9E8A" w14:textId="6E18D9B5" w:rsidR="002B4366" w:rsidRDefault="0084188F" w:rsidP="0084188F">
      <w:pPr>
        <w:pStyle w:val="ListParagraph"/>
        <w:rPr>
          <w:lang w:eastAsia="ko-KR"/>
        </w:rPr>
      </w:pPr>
      <w:r>
        <w:rPr>
          <w:lang w:eastAsia="ko-KR"/>
        </w:rPr>
        <w:t>Moreover, f</w:t>
      </w:r>
      <w:r w:rsidR="002B4366">
        <w:rPr>
          <w:lang w:eastAsia="ko-KR"/>
        </w:rPr>
        <w:t>requency hopping will likely become a NB-</w:t>
      </w:r>
      <w:proofErr w:type="spellStart"/>
      <w:r w:rsidR="002B4366">
        <w:rPr>
          <w:lang w:eastAsia="ko-KR"/>
        </w:rPr>
        <w:t>IoT</w:t>
      </w:r>
      <w:proofErr w:type="spellEnd"/>
      <w:r w:rsidR="002B4366">
        <w:rPr>
          <w:lang w:eastAsia="ko-KR"/>
        </w:rPr>
        <w:t xml:space="preserve"> feature</w:t>
      </w:r>
      <w:r w:rsidR="00FE7E43">
        <w:rPr>
          <w:lang w:eastAsia="ko-KR"/>
        </w:rPr>
        <w:t xml:space="preserve"> in future</w:t>
      </w:r>
      <w:r w:rsidR="00AF41AB">
        <w:rPr>
          <w:lang w:eastAsia="ko-KR"/>
        </w:rPr>
        <w:t xml:space="preserve"> releases</w:t>
      </w:r>
      <w:r>
        <w:rPr>
          <w:lang w:eastAsia="ko-KR"/>
        </w:rPr>
        <w:t>. U</w:t>
      </w:r>
      <w:r w:rsidR="00187180">
        <w:rPr>
          <w:lang w:eastAsia="ko-KR"/>
        </w:rPr>
        <w:t xml:space="preserve">sing </w:t>
      </w:r>
      <w:r w:rsidR="009B55AA">
        <w:rPr>
          <w:lang w:eastAsia="ko-KR"/>
        </w:rPr>
        <w:t>pseudo random</w:t>
      </w:r>
      <w:r w:rsidR="00187180">
        <w:rPr>
          <w:lang w:eastAsia="ko-KR"/>
        </w:rPr>
        <w:t xml:space="preserve"> hopping is </w:t>
      </w:r>
      <w:r>
        <w:rPr>
          <w:lang w:eastAsia="ko-KR"/>
        </w:rPr>
        <w:t>more forward compatible.</w:t>
      </w:r>
      <w:r w:rsidR="006A7ABF" w:rsidRPr="006A7ABF">
        <w:rPr>
          <w:lang w:eastAsia="ko-KR"/>
        </w:rPr>
        <w:t xml:space="preserve"> </w:t>
      </w:r>
      <w:r w:rsidR="006A7ABF">
        <w:rPr>
          <w:lang w:eastAsia="ko-KR"/>
        </w:rPr>
        <w:t>If fixed-size two-level hopping is used, additional hopping sizes might need to be defined in future</w:t>
      </w:r>
      <w:r w:rsidR="00AF41AB">
        <w:rPr>
          <w:lang w:eastAsia="ko-KR"/>
        </w:rPr>
        <w:t xml:space="preserve"> releases</w:t>
      </w:r>
      <w:r w:rsidR="006A7ABF">
        <w:rPr>
          <w:lang w:eastAsia="ko-KR"/>
        </w:rPr>
        <w:t>.</w:t>
      </w:r>
    </w:p>
    <w:p w14:paraId="524CE614" w14:textId="77777777" w:rsidR="00010E7F" w:rsidRDefault="00010E7F" w:rsidP="00010E7F">
      <w:pPr>
        <w:rPr>
          <w:lang w:eastAsia="ko-KR"/>
        </w:rPr>
      </w:pPr>
    </w:p>
    <w:p w14:paraId="21A5137F" w14:textId="53B96467" w:rsidR="00010E7F" w:rsidRDefault="00010E7F" w:rsidP="00010E7F">
      <w:pPr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777588A1" wp14:editId="656AF802">
            <wp:extent cx="6107430" cy="2191385"/>
            <wp:effectExtent l="0" t="0" r="7620" b="0"/>
            <wp:docPr id="2" name="Picture 2" descr="C:\local_data\MassiveMTC\MyDocs\RAN1_84\simpleHopp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local_data\MassiveMTC\MyDocs\RAN1_84\simpleHoppin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283EE" w14:textId="3836667B" w:rsidR="00A07F09" w:rsidRDefault="00010E7F" w:rsidP="00010E7F">
      <w:pPr>
        <w:pStyle w:val="Caption"/>
        <w:rPr>
          <w:lang w:eastAsia="ko-KR"/>
        </w:rPr>
      </w:pPr>
      <w:bookmarkStart w:id="5" w:name="_Ref4423671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201C">
        <w:rPr>
          <w:noProof/>
        </w:rPr>
        <w:t>3</w:t>
      </w:r>
      <w:r>
        <w:fldChar w:fldCharType="end"/>
      </w:r>
      <w:bookmarkEnd w:id="5"/>
      <w:r>
        <w:t>: An illustration of two-level hopping: Inner layer fixed size hopping + outer layer LTE PUSCH type 2 pseudo random hopping</w:t>
      </w:r>
    </w:p>
    <w:p w14:paraId="65316138" w14:textId="69AB579C" w:rsidR="000B3D9D" w:rsidRDefault="000A525A" w:rsidP="000B3D9D">
      <w:pPr>
        <w:pStyle w:val="BodyText"/>
        <w:rPr>
          <w:i/>
          <w:lang w:eastAsia="ko-KR"/>
        </w:rPr>
      </w:pPr>
      <w:r w:rsidRPr="00386515">
        <w:rPr>
          <w:i/>
          <w:lang w:eastAsia="ko-KR"/>
        </w:rPr>
        <w:t xml:space="preserve">Proposal </w:t>
      </w:r>
      <w:r w:rsidR="00881495">
        <w:rPr>
          <w:i/>
          <w:lang w:eastAsia="ko-KR"/>
        </w:rPr>
        <w:t>1</w:t>
      </w:r>
      <w:r w:rsidRPr="00386515">
        <w:rPr>
          <w:i/>
          <w:lang w:eastAsia="ko-KR"/>
        </w:rPr>
        <w:t xml:space="preserve">: </w:t>
      </w:r>
      <w:r>
        <w:rPr>
          <w:i/>
          <w:lang w:eastAsia="ko-KR"/>
        </w:rPr>
        <w:t>In addition to</w:t>
      </w:r>
      <w:r w:rsidR="002B7978">
        <w:rPr>
          <w:i/>
          <w:lang w:eastAsia="ko-KR"/>
        </w:rPr>
        <w:t xml:space="preserve"> the first level</w:t>
      </w:r>
      <w:r>
        <w:rPr>
          <w:i/>
          <w:lang w:eastAsia="ko-KR"/>
        </w:rPr>
        <w:t xml:space="preserve"> fixed size hopping</w:t>
      </w:r>
      <w:r w:rsidR="00771903">
        <w:rPr>
          <w:i/>
          <w:lang w:eastAsia="ko-KR"/>
        </w:rPr>
        <w:t xml:space="preserve"> (inner layer hopping)</w:t>
      </w:r>
      <w:r>
        <w:rPr>
          <w:i/>
          <w:lang w:eastAsia="ko-KR"/>
        </w:rPr>
        <w:t xml:space="preserve">, </w:t>
      </w:r>
      <w:r w:rsidR="009B55AA">
        <w:rPr>
          <w:i/>
          <w:lang w:eastAsia="ko-KR"/>
        </w:rPr>
        <w:t>pseudo random</w:t>
      </w:r>
      <w:r>
        <w:rPr>
          <w:i/>
          <w:lang w:eastAsia="ko-KR"/>
        </w:rPr>
        <w:t xml:space="preserve"> hopping is used for single tone frequency </w:t>
      </w:r>
      <w:r w:rsidR="00444B94">
        <w:rPr>
          <w:i/>
          <w:lang w:eastAsia="ko-KR"/>
        </w:rPr>
        <w:t>hopping</w:t>
      </w:r>
      <w:r>
        <w:rPr>
          <w:i/>
          <w:lang w:eastAsia="ko-KR"/>
        </w:rPr>
        <w:t xml:space="preserve"> NB-PRACH transmission</w:t>
      </w:r>
      <w:r w:rsidR="00771903">
        <w:rPr>
          <w:i/>
          <w:lang w:eastAsia="ko-KR"/>
        </w:rPr>
        <w:t xml:space="preserve"> as outer layer hopping</w:t>
      </w:r>
      <w:r>
        <w:rPr>
          <w:i/>
          <w:lang w:eastAsia="ko-KR"/>
        </w:rPr>
        <w:t>.</w:t>
      </w:r>
      <w:r w:rsidR="000B3D9D">
        <w:rPr>
          <w:i/>
          <w:lang w:eastAsia="ko-KR"/>
        </w:rPr>
        <w:t xml:space="preserve"> The outer layer hopping can be based on e.g. LTE PUSCH type 2 hopping.</w:t>
      </w:r>
    </w:p>
    <w:p w14:paraId="69604CDC" w14:textId="7A72F937" w:rsidR="00055FB3" w:rsidRPr="00E330BC" w:rsidRDefault="00055FB3" w:rsidP="00055FB3">
      <w:pPr>
        <w:pStyle w:val="Heading1"/>
      </w:pPr>
      <w:r>
        <w:lastRenderedPageBreak/>
        <w:t>Conclusions</w:t>
      </w:r>
    </w:p>
    <w:p w14:paraId="1C6EB1F9" w14:textId="72F88CF4" w:rsidR="006D203B" w:rsidRDefault="00511F61" w:rsidP="00055FB3">
      <w:pPr>
        <w:pStyle w:val="BodyText"/>
      </w:pPr>
      <w:r>
        <w:t xml:space="preserve">In this contribution, we have discussed the various design considerations that should be taken into account for </w:t>
      </w:r>
      <w:r w:rsidR="00ED1D5D">
        <w:rPr>
          <w:lang w:val="en-US"/>
        </w:rPr>
        <w:t xml:space="preserve">the single tone frequency </w:t>
      </w:r>
      <w:r w:rsidR="00444B94">
        <w:rPr>
          <w:lang w:val="en-US"/>
        </w:rPr>
        <w:t>hopping</w:t>
      </w:r>
      <w:r w:rsidR="00ED1D5D">
        <w:rPr>
          <w:lang w:val="en-US"/>
        </w:rPr>
        <w:t xml:space="preserve"> NB-PRACH </w:t>
      </w:r>
      <w:r>
        <w:t>design.</w:t>
      </w:r>
    </w:p>
    <w:p w14:paraId="3EDF48AA" w14:textId="77777777" w:rsidR="00E15682" w:rsidRDefault="00E15682" w:rsidP="00055FB3">
      <w:pPr>
        <w:pStyle w:val="BodyText"/>
      </w:pPr>
    </w:p>
    <w:p w14:paraId="18BA7027" w14:textId="5F711E16" w:rsidR="000B3D9D" w:rsidRDefault="000B3D9D" w:rsidP="000B3D9D">
      <w:pPr>
        <w:pStyle w:val="BodyText"/>
        <w:rPr>
          <w:i/>
          <w:lang w:eastAsia="ko-KR"/>
        </w:rPr>
      </w:pPr>
      <w:r w:rsidRPr="00386515">
        <w:rPr>
          <w:i/>
          <w:lang w:eastAsia="ko-KR"/>
        </w:rPr>
        <w:t xml:space="preserve">Proposal </w:t>
      </w:r>
      <w:r w:rsidR="00287ED0">
        <w:rPr>
          <w:i/>
          <w:lang w:eastAsia="ko-KR"/>
        </w:rPr>
        <w:t>1</w:t>
      </w:r>
      <w:r w:rsidRPr="00386515">
        <w:rPr>
          <w:i/>
          <w:lang w:eastAsia="ko-KR"/>
        </w:rPr>
        <w:t xml:space="preserve">: </w:t>
      </w:r>
      <w:r>
        <w:rPr>
          <w:i/>
          <w:lang w:eastAsia="ko-KR"/>
        </w:rPr>
        <w:t>In addition to the first level fixed size hopping (inner layer hopping), pseudo random hopping is used for single tone frequency hopping NB-PRACH transmission as outer layer hopping. The outer layer hopping can be based o</w:t>
      </w:r>
      <w:r w:rsidR="00530842">
        <w:rPr>
          <w:i/>
          <w:lang w:eastAsia="ko-KR"/>
        </w:rPr>
        <w:t>n e.g. LTE PUSCH type 2 hopping.</w:t>
      </w:r>
    </w:p>
    <w:p w14:paraId="3CDD35EA" w14:textId="77777777" w:rsidR="00AD46C5" w:rsidRDefault="00AD46C5" w:rsidP="00A24257">
      <w:pPr>
        <w:rPr>
          <w:i/>
        </w:rPr>
      </w:pP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1FF528C" w14:textId="5215ED5A" w:rsidR="00BD48C2" w:rsidRDefault="00594E36" w:rsidP="00990218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6" w:name="_Ref433894019"/>
      <w:bookmarkStart w:id="7" w:name="_Ref430944728"/>
      <w:r>
        <w:rPr>
          <w:lang w:val="en-US"/>
        </w:rPr>
        <w:t>R</w:t>
      </w:r>
      <w:r w:rsidR="00F5137F">
        <w:t xml:space="preserve">P-151621, “New Work Item: </w:t>
      </w:r>
      <w:proofErr w:type="spellStart"/>
      <w:r w:rsidR="00F5137F">
        <w:t>NarrowBand</w:t>
      </w:r>
      <w:proofErr w:type="spellEnd"/>
      <w:r w:rsidR="00F5137F">
        <w:t xml:space="preserve"> IOT (NB-IOT),” source Qualcomm Inc., RAN #69.</w:t>
      </w:r>
      <w:bookmarkEnd w:id="6"/>
    </w:p>
    <w:p w14:paraId="08567AD8" w14:textId="7A03F1CF" w:rsidR="00741459" w:rsidRDefault="00570767" w:rsidP="0099021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8" w:name="_Ref436223503"/>
      <w:r>
        <w:t xml:space="preserve">RP-152284, “New Work Item: Narrowband </w:t>
      </w:r>
      <w:proofErr w:type="spellStart"/>
      <w:r>
        <w:t>IoT</w:t>
      </w:r>
      <w:proofErr w:type="spellEnd"/>
      <w:r>
        <w:t xml:space="preserve"> (NB-</w:t>
      </w:r>
      <w:proofErr w:type="spellStart"/>
      <w:r>
        <w:t>IoT</w:t>
      </w:r>
      <w:proofErr w:type="spellEnd"/>
      <w:r>
        <w:t xml:space="preserve">),” sources Huawei and </w:t>
      </w:r>
      <w:proofErr w:type="spellStart"/>
      <w:r>
        <w:t>HiSilicon</w:t>
      </w:r>
      <w:proofErr w:type="spellEnd"/>
      <w:r>
        <w:t>, RAN #70</w:t>
      </w:r>
      <w:r w:rsidR="00741459">
        <w:t>.</w:t>
      </w:r>
      <w:bookmarkEnd w:id="8"/>
    </w:p>
    <w:p w14:paraId="0CE08FE2" w14:textId="77777777" w:rsidR="002B0F80" w:rsidRDefault="005560B2" w:rsidP="002B0F8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9" w:name="_Ref441756286"/>
      <w:r w:rsidRPr="005560B2">
        <w:t>RAN1 Chairman’s Notes</w:t>
      </w:r>
      <w:r>
        <w:t xml:space="preserve">, </w:t>
      </w:r>
      <w:bookmarkStart w:id="10" w:name="_Ref436223730"/>
      <w:bookmarkEnd w:id="9"/>
      <w:r w:rsidR="002B0F80" w:rsidRPr="0057152E">
        <w:rPr>
          <w:rFonts w:cs="Arial"/>
        </w:rPr>
        <w:t>RAN1 NB-</w:t>
      </w:r>
      <w:proofErr w:type="spellStart"/>
      <w:r w:rsidR="002B0F80" w:rsidRPr="0057152E">
        <w:rPr>
          <w:rFonts w:cs="Arial"/>
        </w:rPr>
        <w:t>IoT</w:t>
      </w:r>
      <w:proofErr w:type="spellEnd"/>
      <w:r w:rsidR="002B0F80" w:rsidRPr="0057152E">
        <w:rPr>
          <w:rFonts w:cs="Arial"/>
        </w:rPr>
        <w:t xml:space="preserve"> Ad Hoc, January 2016.</w:t>
      </w:r>
    </w:p>
    <w:p w14:paraId="65320058" w14:textId="41B9B84F" w:rsidR="001B32BE" w:rsidRDefault="001B32BE" w:rsidP="0099021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11" w:name="_Ref442100028"/>
      <w:r>
        <w:t>R1-157424, “</w:t>
      </w:r>
      <w:r w:rsidRPr="001B32BE">
        <w:t>NB-</w:t>
      </w:r>
      <w:proofErr w:type="spellStart"/>
      <w:r w:rsidRPr="001B32BE">
        <w:t>IoT</w:t>
      </w:r>
      <w:proofErr w:type="spellEnd"/>
      <w:r w:rsidRPr="001B32BE">
        <w:t xml:space="preserve"> - </w:t>
      </w:r>
      <w:r w:rsidR="001B0624">
        <w:t>R</w:t>
      </w:r>
      <w:r w:rsidR="009B55AA">
        <w:t>andom</w:t>
      </w:r>
      <w:r w:rsidRPr="001B32BE">
        <w:t xml:space="preserve"> </w:t>
      </w:r>
      <w:r w:rsidR="0070296D">
        <w:t>Access D</w:t>
      </w:r>
      <w:r w:rsidRPr="001B32BE">
        <w:t>esign</w:t>
      </w:r>
      <w:r>
        <w:t>,” source Ericsson, RAN1 #83.</w:t>
      </w:r>
      <w:bookmarkEnd w:id="10"/>
      <w:bookmarkEnd w:id="11"/>
    </w:p>
    <w:p w14:paraId="64E6F5AC" w14:textId="0971864C" w:rsidR="00FD1717" w:rsidRPr="00F40989" w:rsidRDefault="00FD1717" w:rsidP="00990218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12" w:name="_Ref425165970"/>
      <w:r w:rsidRPr="00FD1717">
        <w:rPr>
          <w:rFonts w:cs="NimbusRomNo9L-Regu"/>
          <w:color w:val="231F20"/>
        </w:rPr>
        <w:t>3GPP TR 45.820</w:t>
      </w:r>
      <w:r w:rsidRPr="004B7027">
        <w:rPr>
          <w:rFonts w:cs="NimbusRomNo9L-Regu"/>
          <w:color w:val="231F20"/>
        </w:rPr>
        <w:t xml:space="preserve">, “Technical Specification Group GSM/EDGE Radio Access Network; Cellular System; Support for Ultra Low Complexity and Low Throughput Internet of Things; (Release 13),” </w:t>
      </w:r>
      <w:r w:rsidR="00F40989" w:rsidRPr="00F40989">
        <w:rPr>
          <w:rFonts w:cs="NimbusRomNo9L-Regu"/>
        </w:rPr>
        <w:t>www.3gpp.org</w:t>
      </w:r>
      <w:r w:rsidRPr="004B7027">
        <w:rPr>
          <w:rFonts w:cs="NimbusRomNo9L-Regu"/>
          <w:color w:val="231F20"/>
        </w:rPr>
        <w:t>.</w:t>
      </w:r>
      <w:bookmarkEnd w:id="12"/>
    </w:p>
    <w:p w14:paraId="0E451055" w14:textId="77777777" w:rsidR="002971F7" w:rsidRDefault="00AA1538" w:rsidP="002971F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3" w:name="_Ref441075636"/>
      <w:r w:rsidRPr="00CC6F27">
        <w:rPr>
          <w:rFonts w:cs="Arial"/>
        </w:rPr>
        <w:t xml:space="preserve">R1-160025, “NB-PRACH design,” source Huawei, </w:t>
      </w:r>
      <w:proofErr w:type="spellStart"/>
      <w:r w:rsidRPr="00CC6F27">
        <w:rPr>
          <w:rFonts w:cs="Arial"/>
        </w:rPr>
        <w:t>HiSilicon</w:t>
      </w:r>
      <w:proofErr w:type="spellEnd"/>
      <w:r w:rsidRPr="00CC6F27">
        <w:rPr>
          <w:rFonts w:cs="Arial"/>
        </w:rPr>
        <w:t xml:space="preserve">, </w:t>
      </w:r>
      <w:proofErr w:type="spellStart"/>
      <w:r w:rsidRPr="00CC6F27">
        <w:rPr>
          <w:rFonts w:cs="Arial"/>
        </w:rPr>
        <w:t>Neul</w:t>
      </w:r>
      <w:proofErr w:type="spellEnd"/>
      <w:r w:rsidRPr="00CC6F27">
        <w:rPr>
          <w:rFonts w:cs="Arial"/>
        </w:rPr>
        <w:t>, RAN1 NB-</w:t>
      </w:r>
      <w:proofErr w:type="spellStart"/>
      <w:r w:rsidRPr="00CC6F27">
        <w:rPr>
          <w:rFonts w:cs="Arial"/>
        </w:rPr>
        <w:t>IoT</w:t>
      </w:r>
      <w:proofErr w:type="spellEnd"/>
      <w:r w:rsidRPr="00CC6F27">
        <w:rPr>
          <w:rFonts w:cs="Arial"/>
        </w:rPr>
        <w:t xml:space="preserve"> Ad Hoc</w:t>
      </w:r>
      <w:r w:rsidR="00CC6F27" w:rsidRPr="00CC6F27">
        <w:rPr>
          <w:rFonts w:cs="Arial"/>
        </w:rPr>
        <w:t xml:space="preserve">, </w:t>
      </w:r>
      <w:proofErr w:type="gramStart"/>
      <w:r w:rsidR="002971F7">
        <w:rPr>
          <w:rFonts w:cs="Arial"/>
        </w:rPr>
        <w:t>January</w:t>
      </w:r>
      <w:proofErr w:type="gramEnd"/>
      <w:r w:rsidR="002971F7">
        <w:rPr>
          <w:rFonts w:cs="Arial"/>
        </w:rPr>
        <w:t xml:space="preserve"> </w:t>
      </w:r>
      <w:r w:rsidRPr="00CC6F27">
        <w:rPr>
          <w:rFonts w:cs="Arial"/>
        </w:rPr>
        <w:t>2016.</w:t>
      </w:r>
      <w:bookmarkEnd w:id="13"/>
    </w:p>
    <w:p w14:paraId="3D296138" w14:textId="0707E64A" w:rsidR="002971F7" w:rsidRDefault="002971F7" w:rsidP="002971F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4" w:name="_Ref441075638"/>
      <w:r w:rsidRPr="0057152E">
        <w:rPr>
          <w:rFonts w:cs="Arial"/>
        </w:rPr>
        <w:t>R1-160110, “</w:t>
      </w:r>
      <w:r w:rsidR="001B0624">
        <w:rPr>
          <w:rFonts w:cs="Arial"/>
        </w:rPr>
        <w:t>R</w:t>
      </w:r>
      <w:r w:rsidR="009B55AA">
        <w:rPr>
          <w:rFonts w:cs="Arial"/>
        </w:rPr>
        <w:t>andom</w:t>
      </w:r>
      <w:r w:rsidRPr="0057152E">
        <w:rPr>
          <w:rFonts w:cs="Arial"/>
        </w:rPr>
        <w:t xml:space="preserve"> Access Channel Design,” source Qualcomm Inc., RAN1 NB-</w:t>
      </w:r>
      <w:proofErr w:type="spellStart"/>
      <w:r w:rsidRPr="0057152E">
        <w:rPr>
          <w:rFonts w:cs="Arial"/>
        </w:rPr>
        <w:t>IoT</w:t>
      </w:r>
      <w:proofErr w:type="spellEnd"/>
      <w:r w:rsidRPr="0057152E">
        <w:rPr>
          <w:rFonts w:cs="Arial"/>
        </w:rPr>
        <w:t xml:space="preserve"> Ad Hoc, </w:t>
      </w:r>
      <w:proofErr w:type="gramStart"/>
      <w:r w:rsidRPr="0057152E">
        <w:rPr>
          <w:rFonts w:cs="Arial"/>
        </w:rPr>
        <w:t>January</w:t>
      </w:r>
      <w:proofErr w:type="gramEnd"/>
      <w:r w:rsidRPr="0057152E">
        <w:rPr>
          <w:rFonts w:cs="Arial"/>
        </w:rPr>
        <w:t xml:space="preserve"> 2016.</w:t>
      </w:r>
      <w:bookmarkEnd w:id="14"/>
    </w:p>
    <w:p w14:paraId="127020D5" w14:textId="77777777" w:rsidR="00F463C6" w:rsidRDefault="008042BD" w:rsidP="008042B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5" w:name="_Ref441153767"/>
      <w:r w:rsidRPr="008042BD">
        <w:rPr>
          <w:rFonts w:cs="Arial"/>
        </w:rPr>
        <w:t>3GPP TS 36.211</w:t>
      </w:r>
      <w:r>
        <w:rPr>
          <w:rFonts w:cs="Arial"/>
        </w:rPr>
        <w:t>, “</w:t>
      </w:r>
      <w:r w:rsidRPr="008042BD">
        <w:rPr>
          <w:rFonts w:cs="Arial"/>
        </w:rPr>
        <w:t>Evolved Universal Terrestrial Radio Access (E-UTRA); Physical channels and modulation (Release 12)</w:t>
      </w:r>
      <w:r>
        <w:rPr>
          <w:rFonts w:cs="Arial"/>
        </w:rPr>
        <w:t>.”</w:t>
      </w:r>
      <w:bookmarkEnd w:id="15"/>
    </w:p>
    <w:p w14:paraId="540EC0BA" w14:textId="7CC29C6A" w:rsidR="00A07F09" w:rsidRDefault="00F463C6" w:rsidP="00F463C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6" w:name="_Ref441153778"/>
      <w:r>
        <w:rPr>
          <w:rFonts w:cs="Arial"/>
        </w:rPr>
        <w:t>3GPP TS 36.213, “</w:t>
      </w:r>
      <w:r w:rsidRPr="00F463C6">
        <w:rPr>
          <w:rFonts w:cs="Arial"/>
        </w:rPr>
        <w:t>Evolved Universal Terrestrial Radio Access (E-UTRA); Physical layer procedures</w:t>
      </w:r>
      <w:r w:rsidR="00076E8C">
        <w:rPr>
          <w:rFonts w:cs="Arial"/>
        </w:rPr>
        <w:t xml:space="preserve"> </w:t>
      </w:r>
      <w:r w:rsidR="00076E8C" w:rsidRPr="008042BD">
        <w:rPr>
          <w:rFonts w:cs="Arial"/>
        </w:rPr>
        <w:t>(Release 12)</w:t>
      </w:r>
      <w:r w:rsidR="00076E8C">
        <w:rPr>
          <w:rFonts w:cs="Arial"/>
        </w:rPr>
        <w:t>.</w:t>
      </w:r>
      <w:r>
        <w:rPr>
          <w:rFonts w:cs="Arial"/>
        </w:rPr>
        <w:t>”</w:t>
      </w:r>
      <w:bookmarkEnd w:id="16"/>
      <w:r w:rsidR="008042BD">
        <w:rPr>
          <w:rFonts w:cs="Arial"/>
        </w:rPr>
        <w:t xml:space="preserve"> </w:t>
      </w:r>
    </w:p>
    <w:p w14:paraId="0D4662D4" w14:textId="7D451F49" w:rsidR="00B52924" w:rsidRPr="00B52924" w:rsidRDefault="00B52924" w:rsidP="00B52924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17" w:name="_Ref442098683"/>
      <w:r>
        <w:rPr>
          <w:rFonts w:cs="Arial"/>
        </w:rPr>
        <w:t xml:space="preserve">R1-160275, </w:t>
      </w:r>
      <w:r>
        <w:t>“</w:t>
      </w:r>
      <w:r w:rsidRPr="001B32BE">
        <w:t>NB-</w:t>
      </w:r>
      <w:proofErr w:type="spellStart"/>
      <w:r w:rsidRPr="001B32BE">
        <w:t>IoT</w:t>
      </w:r>
      <w:proofErr w:type="spellEnd"/>
      <w:r w:rsidRPr="001B32BE">
        <w:t xml:space="preserve"> </w:t>
      </w:r>
      <w:r>
        <w:t>–</w:t>
      </w:r>
      <w:r w:rsidRPr="001B32BE">
        <w:t xml:space="preserve"> </w:t>
      </w:r>
      <w:r>
        <w:t>Single Tone Frequency Hopping NB-PRACH,” source Ericsson, RAN1 #84</w:t>
      </w:r>
      <w:r w:rsidR="00022FBD">
        <w:t>, February 2016</w:t>
      </w:r>
      <w:r>
        <w:t>.</w:t>
      </w:r>
      <w:bookmarkEnd w:id="17"/>
    </w:p>
    <w:p w14:paraId="334DCB33" w14:textId="3645B869" w:rsidR="00102B71" w:rsidRPr="000B3D9D" w:rsidRDefault="0080038C" w:rsidP="000B3D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18" w:name="_Ref442098866"/>
      <w:bookmarkEnd w:id="7"/>
      <w:r>
        <w:t>R1-160276, “</w:t>
      </w:r>
      <w:r w:rsidRPr="001B32BE">
        <w:t>NB-</w:t>
      </w:r>
      <w:proofErr w:type="spellStart"/>
      <w:r w:rsidRPr="001B32BE">
        <w:t>IoT</w:t>
      </w:r>
      <w:proofErr w:type="spellEnd"/>
      <w:r w:rsidRPr="001B32BE">
        <w:t xml:space="preserve"> </w:t>
      </w:r>
      <w:r>
        <w:t>–</w:t>
      </w:r>
      <w:r w:rsidRPr="001B32BE">
        <w:t xml:space="preserve"> </w:t>
      </w:r>
      <w:r>
        <w:t>NB-PRACH evaluations,” source Ericsson, RAN1 #84</w:t>
      </w:r>
      <w:r w:rsidR="00022FBD">
        <w:t>, February 2016</w:t>
      </w:r>
      <w:r>
        <w:t>.</w:t>
      </w:r>
      <w:bookmarkEnd w:id="18"/>
      <w:bookmarkEnd w:id="0"/>
    </w:p>
    <w:sectPr w:rsidR="00102B71" w:rsidRPr="000B3D9D" w:rsidSect="003B5666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46D43" w14:textId="77777777" w:rsidR="00DD37D4" w:rsidRDefault="00DD37D4">
      <w:pPr>
        <w:spacing w:after="0"/>
      </w:pPr>
      <w:r>
        <w:separator/>
      </w:r>
    </w:p>
  </w:endnote>
  <w:endnote w:type="continuationSeparator" w:id="0">
    <w:p w14:paraId="2805F8FE" w14:textId="77777777" w:rsidR="00DD37D4" w:rsidRDefault="00DD3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9E00EA" w:rsidRDefault="009E00EA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201C">
      <w:rPr>
        <w:rStyle w:val="PageNumber"/>
      </w:rPr>
      <w:t>2</w:t>
    </w:r>
    <w:r>
      <w:rPr>
        <w:rStyle w:val="PageNumber"/>
      </w:rPr>
      <w:fldChar w:fldCharType="end"/>
    </w:r>
    <w:bookmarkStart w:id="1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201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9E00EA" w:rsidRDefault="009E00E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201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201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AD401" w14:textId="77777777" w:rsidR="00DD37D4" w:rsidRDefault="00DD37D4">
      <w:pPr>
        <w:spacing w:after="0"/>
      </w:pPr>
      <w:r>
        <w:separator/>
      </w:r>
    </w:p>
  </w:footnote>
  <w:footnote w:type="continuationSeparator" w:id="0">
    <w:p w14:paraId="53E18FEE" w14:textId="77777777" w:rsidR="00DD37D4" w:rsidRDefault="00DD3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9E00EA" w:rsidRPr="006A0FC7" w:rsidRDefault="009E00EA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9E00EA" w:rsidRPr="00BF30DA" w:rsidRDefault="009E00EA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32C20"/>
    <w:multiLevelType w:val="hybridMultilevel"/>
    <w:tmpl w:val="6254A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47254"/>
    <w:multiLevelType w:val="hybridMultilevel"/>
    <w:tmpl w:val="C92C3C5E"/>
    <w:lvl w:ilvl="0" w:tplc="526C711C">
      <w:start w:val="1"/>
      <w:numFmt w:val="decimal"/>
      <w:lvlText w:val="Structure 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2E0C36EF"/>
    <w:multiLevelType w:val="hybridMultilevel"/>
    <w:tmpl w:val="676030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B2C6B"/>
    <w:multiLevelType w:val="hybridMultilevel"/>
    <w:tmpl w:val="793A310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F00301"/>
    <w:multiLevelType w:val="hybridMultilevel"/>
    <w:tmpl w:val="B90A4D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61AFB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CD6C3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DE86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ED8B8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866CDF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44643E0"/>
    <w:multiLevelType w:val="hybridMultilevel"/>
    <w:tmpl w:val="36F49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A241396"/>
    <w:multiLevelType w:val="hybridMultilevel"/>
    <w:tmpl w:val="362ED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8"/>
  </w:num>
  <w:num w:numId="6">
    <w:abstractNumId w:val="12"/>
  </w:num>
  <w:num w:numId="7">
    <w:abstractNumId w:val="21"/>
  </w:num>
  <w:num w:numId="8">
    <w:abstractNumId w:val="9"/>
  </w:num>
  <w:num w:numId="9">
    <w:abstractNumId w:val="11"/>
  </w:num>
  <w:num w:numId="10">
    <w:abstractNumId w:val="10"/>
  </w:num>
  <w:num w:numId="11">
    <w:abstractNumId w:val="16"/>
  </w:num>
  <w:num w:numId="12">
    <w:abstractNumId w:val="14"/>
  </w:num>
  <w:num w:numId="13">
    <w:abstractNumId w:val="22"/>
  </w:num>
  <w:num w:numId="14">
    <w:abstractNumId w:val="13"/>
  </w:num>
  <w:num w:numId="15">
    <w:abstractNumId w:val="17"/>
  </w:num>
  <w:num w:numId="16">
    <w:abstractNumId w:val="2"/>
  </w:num>
  <w:num w:numId="17">
    <w:abstractNumId w:val="20"/>
  </w:num>
  <w:num w:numId="18">
    <w:abstractNumId w:val="15"/>
  </w:num>
  <w:num w:numId="19">
    <w:abstractNumId w:val="3"/>
  </w:num>
  <w:num w:numId="20">
    <w:abstractNumId w:val="4"/>
  </w:num>
  <w:num w:numId="21">
    <w:abstractNumId w:val="6"/>
  </w:num>
  <w:num w:numId="22">
    <w:abstractNumId w:val="18"/>
  </w:num>
  <w:num w:numId="23">
    <w:abstractNumId w:val="23"/>
  </w:num>
  <w:num w:numId="24">
    <w:abstractNumId w:val="7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930"/>
    <w:rsid w:val="00004F8F"/>
    <w:rsid w:val="000051C9"/>
    <w:rsid w:val="000057DF"/>
    <w:rsid w:val="00005C0F"/>
    <w:rsid w:val="000075E4"/>
    <w:rsid w:val="00007EEE"/>
    <w:rsid w:val="0001002B"/>
    <w:rsid w:val="00010AEE"/>
    <w:rsid w:val="00010E7F"/>
    <w:rsid w:val="00011A8E"/>
    <w:rsid w:val="000135DD"/>
    <w:rsid w:val="00013F4F"/>
    <w:rsid w:val="00014DAE"/>
    <w:rsid w:val="000163BB"/>
    <w:rsid w:val="00017366"/>
    <w:rsid w:val="00017AF9"/>
    <w:rsid w:val="000201D3"/>
    <w:rsid w:val="00022FBD"/>
    <w:rsid w:val="000237B9"/>
    <w:rsid w:val="00024429"/>
    <w:rsid w:val="0002572A"/>
    <w:rsid w:val="00027311"/>
    <w:rsid w:val="00027D60"/>
    <w:rsid w:val="00031103"/>
    <w:rsid w:val="00035879"/>
    <w:rsid w:val="00036AAB"/>
    <w:rsid w:val="00042044"/>
    <w:rsid w:val="00042761"/>
    <w:rsid w:val="00042A4F"/>
    <w:rsid w:val="000433C7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596D"/>
    <w:rsid w:val="000668DB"/>
    <w:rsid w:val="00067182"/>
    <w:rsid w:val="00067C1B"/>
    <w:rsid w:val="0007045A"/>
    <w:rsid w:val="00070D16"/>
    <w:rsid w:val="000718D9"/>
    <w:rsid w:val="000721FC"/>
    <w:rsid w:val="00072382"/>
    <w:rsid w:val="000724AD"/>
    <w:rsid w:val="00073A24"/>
    <w:rsid w:val="00074D6C"/>
    <w:rsid w:val="00075668"/>
    <w:rsid w:val="00076E8C"/>
    <w:rsid w:val="000803A9"/>
    <w:rsid w:val="00080800"/>
    <w:rsid w:val="00081CA2"/>
    <w:rsid w:val="000832A0"/>
    <w:rsid w:val="000857F2"/>
    <w:rsid w:val="00087350"/>
    <w:rsid w:val="0008796B"/>
    <w:rsid w:val="00091A7F"/>
    <w:rsid w:val="00091F76"/>
    <w:rsid w:val="00093C23"/>
    <w:rsid w:val="00093FC2"/>
    <w:rsid w:val="00095772"/>
    <w:rsid w:val="000963AE"/>
    <w:rsid w:val="00096C16"/>
    <w:rsid w:val="00097F75"/>
    <w:rsid w:val="000A105F"/>
    <w:rsid w:val="000A207F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715"/>
    <w:rsid w:val="000C3C4D"/>
    <w:rsid w:val="000C3D83"/>
    <w:rsid w:val="000C4751"/>
    <w:rsid w:val="000C583D"/>
    <w:rsid w:val="000C6F10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6389"/>
    <w:rsid w:val="000E0248"/>
    <w:rsid w:val="000E114A"/>
    <w:rsid w:val="000E2254"/>
    <w:rsid w:val="000E2D68"/>
    <w:rsid w:val="000E2DED"/>
    <w:rsid w:val="000E34C8"/>
    <w:rsid w:val="000E3586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3B"/>
    <w:rsid w:val="00111F79"/>
    <w:rsid w:val="00114738"/>
    <w:rsid w:val="00114D8B"/>
    <w:rsid w:val="0011502D"/>
    <w:rsid w:val="0011558F"/>
    <w:rsid w:val="001168FA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4EFD"/>
    <w:rsid w:val="001354B2"/>
    <w:rsid w:val="00135EB8"/>
    <w:rsid w:val="00140C24"/>
    <w:rsid w:val="001421A8"/>
    <w:rsid w:val="00142231"/>
    <w:rsid w:val="00142630"/>
    <w:rsid w:val="00142768"/>
    <w:rsid w:val="00144ED4"/>
    <w:rsid w:val="0014605C"/>
    <w:rsid w:val="00146EC4"/>
    <w:rsid w:val="00147E0D"/>
    <w:rsid w:val="00151C32"/>
    <w:rsid w:val="00152595"/>
    <w:rsid w:val="001547A1"/>
    <w:rsid w:val="0015500D"/>
    <w:rsid w:val="00155B7A"/>
    <w:rsid w:val="001562B9"/>
    <w:rsid w:val="001570DC"/>
    <w:rsid w:val="00157573"/>
    <w:rsid w:val="00157601"/>
    <w:rsid w:val="0015771F"/>
    <w:rsid w:val="0016019B"/>
    <w:rsid w:val="00160AA0"/>
    <w:rsid w:val="00161281"/>
    <w:rsid w:val="00161EB7"/>
    <w:rsid w:val="0016285C"/>
    <w:rsid w:val="001636B7"/>
    <w:rsid w:val="001646D3"/>
    <w:rsid w:val="00166DF7"/>
    <w:rsid w:val="00167432"/>
    <w:rsid w:val="00170486"/>
    <w:rsid w:val="0017094F"/>
    <w:rsid w:val="00172587"/>
    <w:rsid w:val="00172588"/>
    <w:rsid w:val="001726EA"/>
    <w:rsid w:val="0017281E"/>
    <w:rsid w:val="00172C51"/>
    <w:rsid w:val="001738F4"/>
    <w:rsid w:val="00173A6C"/>
    <w:rsid w:val="00174542"/>
    <w:rsid w:val="00174768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4A90"/>
    <w:rsid w:val="00197701"/>
    <w:rsid w:val="001A0E97"/>
    <w:rsid w:val="001A3ADC"/>
    <w:rsid w:val="001A4A31"/>
    <w:rsid w:val="001A5F0B"/>
    <w:rsid w:val="001A7B67"/>
    <w:rsid w:val="001B0624"/>
    <w:rsid w:val="001B07BC"/>
    <w:rsid w:val="001B16EC"/>
    <w:rsid w:val="001B3005"/>
    <w:rsid w:val="001B32BE"/>
    <w:rsid w:val="001B5230"/>
    <w:rsid w:val="001B58B6"/>
    <w:rsid w:val="001B677A"/>
    <w:rsid w:val="001B7FBA"/>
    <w:rsid w:val="001C004F"/>
    <w:rsid w:val="001C1F12"/>
    <w:rsid w:val="001C34B5"/>
    <w:rsid w:val="001C3C0F"/>
    <w:rsid w:val="001C6000"/>
    <w:rsid w:val="001C68B2"/>
    <w:rsid w:val="001C7D09"/>
    <w:rsid w:val="001D06AC"/>
    <w:rsid w:val="001D07A5"/>
    <w:rsid w:val="001D0FC8"/>
    <w:rsid w:val="001D25A5"/>
    <w:rsid w:val="001D2D0F"/>
    <w:rsid w:val="001D2F18"/>
    <w:rsid w:val="001D35C5"/>
    <w:rsid w:val="001D5CD9"/>
    <w:rsid w:val="001D6714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51E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523D"/>
    <w:rsid w:val="002177DE"/>
    <w:rsid w:val="00217DCB"/>
    <w:rsid w:val="002204EA"/>
    <w:rsid w:val="0022072E"/>
    <w:rsid w:val="00220E5C"/>
    <w:rsid w:val="00223950"/>
    <w:rsid w:val="00224545"/>
    <w:rsid w:val="00224F96"/>
    <w:rsid w:val="00225036"/>
    <w:rsid w:val="0022573F"/>
    <w:rsid w:val="00225A4C"/>
    <w:rsid w:val="00226321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81337"/>
    <w:rsid w:val="002818AC"/>
    <w:rsid w:val="00281BFA"/>
    <w:rsid w:val="00285772"/>
    <w:rsid w:val="002860F4"/>
    <w:rsid w:val="00287364"/>
    <w:rsid w:val="00287516"/>
    <w:rsid w:val="00287D33"/>
    <w:rsid w:val="00287ED0"/>
    <w:rsid w:val="00291AA4"/>
    <w:rsid w:val="00292A88"/>
    <w:rsid w:val="0029480F"/>
    <w:rsid w:val="002951FC"/>
    <w:rsid w:val="002971F7"/>
    <w:rsid w:val="002A039E"/>
    <w:rsid w:val="002A1CBA"/>
    <w:rsid w:val="002A4A3B"/>
    <w:rsid w:val="002A5A3A"/>
    <w:rsid w:val="002A5DC6"/>
    <w:rsid w:val="002A6373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E40"/>
    <w:rsid w:val="002C3811"/>
    <w:rsid w:val="002C39D5"/>
    <w:rsid w:val="002C6DB8"/>
    <w:rsid w:val="002C741C"/>
    <w:rsid w:val="002D14F3"/>
    <w:rsid w:val="002D3252"/>
    <w:rsid w:val="002D43CF"/>
    <w:rsid w:val="002D4EAD"/>
    <w:rsid w:val="002D5B4C"/>
    <w:rsid w:val="002E04A3"/>
    <w:rsid w:val="002E499D"/>
    <w:rsid w:val="002F397A"/>
    <w:rsid w:val="002F3FAE"/>
    <w:rsid w:val="002F4CA7"/>
    <w:rsid w:val="002F6BC2"/>
    <w:rsid w:val="002F6D13"/>
    <w:rsid w:val="002F756D"/>
    <w:rsid w:val="003000EB"/>
    <w:rsid w:val="003013DF"/>
    <w:rsid w:val="003037CD"/>
    <w:rsid w:val="003046FB"/>
    <w:rsid w:val="0030654E"/>
    <w:rsid w:val="00307F52"/>
    <w:rsid w:val="0031167A"/>
    <w:rsid w:val="00311A62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1561"/>
    <w:rsid w:val="00332A8C"/>
    <w:rsid w:val="00332C78"/>
    <w:rsid w:val="003346C1"/>
    <w:rsid w:val="00335026"/>
    <w:rsid w:val="003379B0"/>
    <w:rsid w:val="0034043F"/>
    <w:rsid w:val="00340E5F"/>
    <w:rsid w:val="00341CEA"/>
    <w:rsid w:val="003448CE"/>
    <w:rsid w:val="0034618D"/>
    <w:rsid w:val="0034674D"/>
    <w:rsid w:val="00347E2E"/>
    <w:rsid w:val="00351C0A"/>
    <w:rsid w:val="00351F34"/>
    <w:rsid w:val="00352334"/>
    <w:rsid w:val="003526DC"/>
    <w:rsid w:val="0035309F"/>
    <w:rsid w:val="00353DCF"/>
    <w:rsid w:val="003544C5"/>
    <w:rsid w:val="00355478"/>
    <w:rsid w:val="003558AF"/>
    <w:rsid w:val="00355DC7"/>
    <w:rsid w:val="003578EB"/>
    <w:rsid w:val="00357C52"/>
    <w:rsid w:val="00360CCF"/>
    <w:rsid w:val="0036159C"/>
    <w:rsid w:val="003625B9"/>
    <w:rsid w:val="00362B1B"/>
    <w:rsid w:val="00363049"/>
    <w:rsid w:val="00365D17"/>
    <w:rsid w:val="003664C3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70D"/>
    <w:rsid w:val="00382067"/>
    <w:rsid w:val="00383CE6"/>
    <w:rsid w:val="00384695"/>
    <w:rsid w:val="0038496E"/>
    <w:rsid w:val="00384D96"/>
    <w:rsid w:val="003854A1"/>
    <w:rsid w:val="003858E4"/>
    <w:rsid w:val="00385AAD"/>
    <w:rsid w:val="00386515"/>
    <w:rsid w:val="003870D0"/>
    <w:rsid w:val="003876CE"/>
    <w:rsid w:val="00390355"/>
    <w:rsid w:val="00390692"/>
    <w:rsid w:val="0039083F"/>
    <w:rsid w:val="00393F4C"/>
    <w:rsid w:val="00397304"/>
    <w:rsid w:val="00397F45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346C"/>
    <w:rsid w:val="003B44B7"/>
    <w:rsid w:val="003B5666"/>
    <w:rsid w:val="003B7801"/>
    <w:rsid w:val="003C3120"/>
    <w:rsid w:val="003C456B"/>
    <w:rsid w:val="003C4C8D"/>
    <w:rsid w:val="003C72EE"/>
    <w:rsid w:val="003C7E0D"/>
    <w:rsid w:val="003D15A1"/>
    <w:rsid w:val="003D24E7"/>
    <w:rsid w:val="003D273D"/>
    <w:rsid w:val="003D3068"/>
    <w:rsid w:val="003D37E4"/>
    <w:rsid w:val="003D3EEA"/>
    <w:rsid w:val="003D5C1A"/>
    <w:rsid w:val="003D7DDF"/>
    <w:rsid w:val="003E093D"/>
    <w:rsid w:val="003E1145"/>
    <w:rsid w:val="003E1657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E57"/>
    <w:rsid w:val="00400026"/>
    <w:rsid w:val="004024A4"/>
    <w:rsid w:val="0040262E"/>
    <w:rsid w:val="0040263B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32C5"/>
    <w:rsid w:val="00434528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61A3"/>
    <w:rsid w:val="00447F5B"/>
    <w:rsid w:val="0045072F"/>
    <w:rsid w:val="00450C58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7045F"/>
    <w:rsid w:val="004714B3"/>
    <w:rsid w:val="00472397"/>
    <w:rsid w:val="0047268E"/>
    <w:rsid w:val="004731EA"/>
    <w:rsid w:val="004743C0"/>
    <w:rsid w:val="004745C5"/>
    <w:rsid w:val="00474666"/>
    <w:rsid w:val="00475C71"/>
    <w:rsid w:val="00476D85"/>
    <w:rsid w:val="004774D9"/>
    <w:rsid w:val="004779A9"/>
    <w:rsid w:val="0048083A"/>
    <w:rsid w:val="004857BA"/>
    <w:rsid w:val="00485FE7"/>
    <w:rsid w:val="00486CE0"/>
    <w:rsid w:val="00486F40"/>
    <w:rsid w:val="00490EB5"/>
    <w:rsid w:val="00491B56"/>
    <w:rsid w:val="004A0B27"/>
    <w:rsid w:val="004A0C80"/>
    <w:rsid w:val="004A0D5B"/>
    <w:rsid w:val="004A2D23"/>
    <w:rsid w:val="004A305F"/>
    <w:rsid w:val="004A37FB"/>
    <w:rsid w:val="004A3957"/>
    <w:rsid w:val="004A3F89"/>
    <w:rsid w:val="004A51E8"/>
    <w:rsid w:val="004A608F"/>
    <w:rsid w:val="004A7311"/>
    <w:rsid w:val="004A74BA"/>
    <w:rsid w:val="004B067D"/>
    <w:rsid w:val="004B131E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21D7"/>
    <w:rsid w:val="004D4135"/>
    <w:rsid w:val="004D7226"/>
    <w:rsid w:val="004D7469"/>
    <w:rsid w:val="004E0AE5"/>
    <w:rsid w:val="004E0DDC"/>
    <w:rsid w:val="004E181A"/>
    <w:rsid w:val="004E2FC3"/>
    <w:rsid w:val="004E33AA"/>
    <w:rsid w:val="004E3C80"/>
    <w:rsid w:val="004E72A1"/>
    <w:rsid w:val="004F118D"/>
    <w:rsid w:val="004F3C24"/>
    <w:rsid w:val="004F434A"/>
    <w:rsid w:val="004F4C94"/>
    <w:rsid w:val="004F51CB"/>
    <w:rsid w:val="004F5E5F"/>
    <w:rsid w:val="004F712D"/>
    <w:rsid w:val="004F756F"/>
    <w:rsid w:val="005001A3"/>
    <w:rsid w:val="005007BF"/>
    <w:rsid w:val="005029B2"/>
    <w:rsid w:val="005036DA"/>
    <w:rsid w:val="00503BE3"/>
    <w:rsid w:val="005042F3"/>
    <w:rsid w:val="005052C9"/>
    <w:rsid w:val="00505420"/>
    <w:rsid w:val="00505E1C"/>
    <w:rsid w:val="00506961"/>
    <w:rsid w:val="00511F61"/>
    <w:rsid w:val="005121D8"/>
    <w:rsid w:val="0051464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276E5"/>
    <w:rsid w:val="00527F9E"/>
    <w:rsid w:val="00530842"/>
    <w:rsid w:val="00530CE6"/>
    <w:rsid w:val="00531E00"/>
    <w:rsid w:val="00532C41"/>
    <w:rsid w:val="00533201"/>
    <w:rsid w:val="005346F1"/>
    <w:rsid w:val="00534B00"/>
    <w:rsid w:val="005354C4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5C0B"/>
    <w:rsid w:val="005560B2"/>
    <w:rsid w:val="00557491"/>
    <w:rsid w:val="0055777F"/>
    <w:rsid w:val="005579F6"/>
    <w:rsid w:val="00560250"/>
    <w:rsid w:val="0056106B"/>
    <w:rsid w:val="005613B5"/>
    <w:rsid w:val="00566C01"/>
    <w:rsid w:val="00567A42"/>
    <w:rsid w:val="00567CC0"/>
    <w:rsid w:val="00570767"/>
    <w:rsid w:val="005708A8"/>
    <w:rsid w:val="0057107B"/>
    <w:rsid w:val="0057152E"/>
    <w:rsid w:val="005727A3"/>
    <w:rsid w:val="00573F6F"/>
    <w:rsid w:val="005753F0"/>
    <w:rsid w:val="00580B24"/>
    <w:rsid w:val="005815B3"/>
    <w:rsid w:val="00581643"/>
    <w:rsid w:val="00582D4B"/>
    <w:rsid w:val="005849A7"/>
    <w:rsid w:val="00585266"/>
    <w:rsid w:val="005865BB"/>
    <w:rsid w:val="00586A0F"/>
    <w:rsid w:val="005902D9"/>
    <w:rsid w:val="00591229"/>
    <w:rsid w:val="005939CA"/>
    <w:rsid w:val="00594E36"/>
    <w:rsid w:val="00595B34"/>
    <w:rsid w:val="00595EA5"/>
    <w:rsid w:val="005969F9"/>
    <w:rsid w:val="00596E2F"/>
    <w:rsid w:val="00596F14"/>
    <w:rsid w:val="00597F88"/>
    <w:rsid w:val="005A0A6F"/>
    <w:rsid w:val="005A28E5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209"/>
    <w:rsid w:val="005C0A7E"/>
    <w:rsid w:val="005C440F"/>
    <w:rsid w:val="005C4C63"/>
    <w:rsid w:val="005C52BF"/>
    <w:rsid w:val="005C5476"/>
    <w:rsid w:val="005C641A"/>
    <w:rsid w:val="005C750B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3A84"/>
    <w:rsid w:val="005E6B50"/>
    <w:rsid w:val="005E6F1D"/>
    <w:rsid w:val="005F03D4"/>
    <w:rsid w:val="005F2532"/>
    <w:rsid w:val="005F3967"/>
    <w:rsid w:val="005F3A8D"/>
    <w:rsid w:val="005F400D"/>
    <w:rsid w:val="005F5031"/>
    <w:rsid w:val="005F603E"/>
    <w:rsid w:val="005F62B1"/>
    <w:rsid w:val="005F7C43"/>
    <w:rsid w:val="0060058D"/>
    <w:rsid w:val="006005FD"/>
    <w:rsid w:val="00600FE0"/>
    <w:rsid w:val="00602457"/>
    <w:rsid w:val="0060264B"/>
    <w:rsid w:val="00602D06"/>
    <w:rsid w:val="00602F6E"/>
    <w:rsid w:val="0060550A"/>
    <w:rsid w:val="006059D8"/>
    <w:rsid w:val="0061342F"/>
    <w:rsid w:val="00613D7E"/>
    <w:rsid w:val="0061407C"/>
    <w:rsid w:val="006147C9"/>
    <w:rsid w:val="00615A64"/>
    <w:rsid w:val="00615A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996"/>
    <w:rsid w:val="00631256"/>
    <w:rsid w:val="00631F2F"/>
    <w:rsid w:val="006326F1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83F57"/>
    <w:rsid w:val="006843DD"/>
    <w:rsid w:val="006863BF"/>
    <w:rsid w:val="006879C9"/>
    <w:rsid w:val="00687B18"/>
    <w:rsid w:val="0069139A"/>
    <w:rsid w:val="00691D59"/>
    <w:rsid w:val="00693300"/>
    <w:rsid w:val="006954BA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A7ABF"/>
    <w:rsid w:val="006B2525"/>
    <w:rsid w:val="006B3B81"/>
    <w:rsid w:val="006B3F63"/>
    <w:rsid w:val="006B4CD6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80"/>
    <w:rsid w:val="006E1967"/>
    <w:rsid w:val="006E321C"/>
    <w:rsid w:val="006E32CE"/>
    <w:rsid w:val="006E4216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05D7"/>
    <w:rsid w:val="007009BE"/>
    <w:rsid w:val="0070108F"/>
    <w:rsid w:val="007021B6"/>
    <w:rsid w:val="00702264"/>
    <w:rsid w:val="0070296D"/>
    <w:rsid w:val="007042AA"/>
    <w:rsid w:val="007058B7"/>
    <w:rsid w:val="00706DFC"/>
    <w:rsid w:val="0070745E"/>
    <w:rsid w:val="007116FE"/>
    <w:rsid w:val="00712912"/>
    <w:rsid w:val="00713109"/>
    <w:rsid w:val="00713C99"/>
    <w:rsid w:val="00715EF6"/>
    <w:rsid w:val="0071670B"/>
    <w:rsid w:val="00721299"/>
    <w:rsid w:val="00721B29"/>
    <w:rsid w:val="00721E7C"/>
    <w:rsid w:val="00725EF5"/>
    <w:rsid w:val="00726BE5"/>
    <w:rsid w:val="007278A9"/>
    <w:rsid w:val="00730008"/>
    <w:rsid w:val="007345DF"/>
    <w:rsid w:val="0073488B"/>
    <w:rsid w:val="00736CC6"/>
    <w:rsid w:val="00736D17"/>
    <w:rsid w:val="007377E2"/>
    <w:rsid w:val="00740405"/>
    <w:rsid w:val="00740EA2"/>
    <w:rsid w:val="00741459"/>
    <w:rsid w:val="00741A88"/>
    <w:rsid w:val="00741BB0"/>
    <w:rsid w:val="00743188"/>
    <w:rsid w:val="007433CD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1C31"/>
    <w:rsid w:val="007626D3"/>
    <w:rsid w:val="00763114"/>
    <w:rsid w:val="0076599A"/>
    <w:rsid w:val="00765FF7"/>
    <w:rsid w:val="00766775"/>
    <w:rsid w:val="00767578"/>
    <w:rsid w:val="00771903"/>
    <w:rsid w:val="00771E29"/>
    <w:rsid w:val="00774294"/>
    <w:rsid w:val="00774B87"/>
    <w:rsid w:val="00774DC0"/>
    <w:rsid w:val="00774EE4"/>
    <w:rsid w:val="00774FB0"/>
    <w:rsid w:val="00775B33"/>
    <w:rsid w:val="00782C8A"/>
    <w:rsid w:val="007844BE"/>
    <w:rsid w:val="00787B8A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2937"/>
    <w:rsid w:val="007C4603"/>
    <w:rsid w:val="007C4D1A"/>
    <w:rsid w:val="007D01E5"/>
    <w:rsid w:val="007D09BB"/>
    <w:rsid w:val="007D0DD5"/>
    <w:rsid w:val="007D19C6"/>
    <w:rsid w:val="007D4559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4849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210E"/>
    <w:rsid w:val="00802872"/>
    <w:rsid w:val="00803D62"/>
    <w:rsid w:val="008042BD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20F8C"/>
    <w:rsid w:val="0082177D"/>
    <w:rsid w:val="0082358A"/>
    <w:rsid w:val="00824E69"/>
    <w:rsid w:val="00824FAD"/>
    <w:rsid w:val="0082509B"/>
    <w:rsid w:val="00832F1E"/>
    <w:rsid w:val="008345AE"/>
    <w:rsid w:val="00834C61"/>
    <w:rsid w:val="0083685F"/>
    <w:rsid w:val="00837339"/>
    <w:rsid w:val="0083744D"/>
    <w:rsid w:val="0084188F"/>
    <w:rsid w:val="00841D94"/>
    <w:rsid w:val="00844A23"/>
    <w:rsid w:val="00845A36"/>
    <w:rsid w:val="0084751E"/>
    <w:rsid w:val="00847AA7"/>
    <w:rsid w:val="008517E1"/>
    <w:rsid w:val="00851BCB"/>
    <w:rsid w:val="00855EEF"/>
    <w:rsid w:val="00857659"/>
    <w:rsid w:val="00860504"/>
    <w:rsid w:val="00862056"/>
    <w:rsid w:val="0086241A"/>
    <w:rsid w:val="0086315C"/>
    <w:rsid w:val="00863ADD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1B4D"/>
    <w:rsid w:val="00871CDC"/>
    <w:rsid w:val="0087211E"/>
    <w:rsid w:val="008741BC"/>
    <w:rsid w:val="00874A56"/>
    <w:rsid w:val="00875CF8"/>
    <w:rsid w:val="00877459"/>
    <w:rsid w:val="00881495"/>
    <w:rsid w:val="008814B9"/>
    <w:rsid w:val="0088393A"/>
    <w:rsid w:val="00885946"/>
    <w:rsid w:val="00885C46"/>
    <w:rsid w:val="00890DA4"/>
    <w:rsid w:val="00891378"/>
    <w:rsid w:val="00891871"/>
    <w:rsid w:val="00892F8A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586A"/>
    <w:rsid w:val="008D5AC1"/>
    <w:rsid w:val="008D6151"/>
    <w:rsid w:val="008D77EC"/>
    <w:rsid w:val="008D77F8"/>
    <w:rsid w:val="008E0A23"/>
    <w:rsid w:val="008E10A0"/>
    <w:rsid w:val="008E1BEB"/>
    <w:rsid w:val="008E1DE7"/>
    <w:rsid w:val="008E3D20"/>
    <w:rsid w:val="008E4174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8F44D1"/>
    <w:rsid w:val="0090068E"/>
    <w:rsid w:val="00900A45"/>
    <w:rsid w:val="00900D2C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321"/>
    <w:rsid w:val="009224A1"/>
    <w:rsid w:val="0092263C"/>
    <w:rsid w:val="00922FBB"/>
    <w:rsid w:val="009235D6"/>
    <w:rsid w:val="00926614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660"/>
    <w:rsid w:val="009369D2"/>
    <w:rsid w:val="00937BF1"/>
    <w:rsid w:val="00937C46"/>
    <w:rsid w:val="00937F0E"/>
    <w:rsid w:val="00941D3A"/>
    <w:rsid w:val="00942712"/>
    <w:rsid w:val="0094520F"/>
    <w:rsid w:val="009458DE"/>
    <w:rsid w:val="00945A79"/>
    <w:rsid w:val="009507B6"/>
    <w:rsid w:val="00950EF8"/>
    <w:rsid w:val="00951444"/>
    <w:rsid w:val="00952014"/>
    <w:rsid w:val="00956D16"/>
    <w:rsid w:val="0095743E"/>
    <w:rsid w:val="00957E56"/>
    <w:rsid w:val="009623A6"/>
    <w:rsid w:val="00963176"/>
    <w:rsid w:val="00963D1F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2D13"/>
    <w:rsid w:val="009A33D8"/>
    <w:rsid w:val="009A34B1"/>
    <w:rsid w:val="009A353A"/>
    <w:rsid w:val="009A4878"/>
    <w:rsid w:val="009A59C4"/>
    <w:rsid w:val="009A77F4"/>
    <w:rsid w:val="009B04FB"/>
    <w:rsid w:val="009B0C9B"/>
    <w:rsid w:val="009B0F58"/>
    <w:rsid w:val="009B24A2"/>
    <w:rsid w:val="009B3549"/>
    <w:rsid w:val="009B3C67"/>
    <w:rsid w:val="009B3CA7"/>
    <w:rsid w:val="009B41B2"/>
    <w:rsid w:val="009B55AA"/>
    <w:rsid w:val="009B5FBE"/>
    <w:rsid w:val="009B72B5"/>
    <w:rsid w:val="009B777D"/>
    <w:rsid w:val="009B7EF6"/>
    <w:rsid w:val="009C259F"/>
    <w:rsid w:val="009C2FD1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189D"/>
    <w:rsid w:val="009D31F2"/>
    <w:rsid w:val="009D563B"/>
    <w:rsid w:val="009D79FE"/>
    <w:rsid w:val="009D7D8D"/>
    <w:rsid w:val="009E00EA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A00805"/>
    <w:rsid w:val="00A00C54"/>
    <w:rsid w:val="00A01289"/>
    <w:rsid w:val="00A0258F"/>
    <w:rsid w:val="00A03E08"/>
    <w:rsid w:val="00A041A9"/>
    <w:rsid w:val="00A07085"/>
    <w:rsid w:val="00A07A17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F23"/>
    <w:rsid w:val="00A26141"/>
    <w:rsid w:val="00A26CD8"/>
    <w:rsid w:val="00A30202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5510"/>
    <w:rsid w:val="00A46AF1"/>
    <w:rsid w:val="00A47C68"/>
    <w:rsid w:val="00A47EA0"/>
    <w:rsid w:val="00A505FF"/>
    <w:rsid w:val="00A5294F"/>
    <w:rsid w:val="00A53F48"/>
    <w:rsid w:val="00A543F4"/>
    <w:rsid w:val="00A546B8"/>
    <w:rsid w:val="00A54972"/>
    <w:rsid w:val="00A54DEC"/>
    <w:rsid w:val="00A5544B"/>
    <w:rsid w:val="00A55ECB"/>
    <w:rsid w:val="00A579F8"/>
    <w:rsid w:val="00A57B57"/>
    <w:rsid w:val="00A60353"/>
    <w:rsid w:val="00A619D8"/>
    <w:rsid w:val="00A6251F"/>
    <w:rsid w:val="00A62C43"/>
    <w:rsid w:val="00A653F3"/>
    <w:rsid w:val="00A66CEE"/>
    <w:rsid w:val="00A675B4"/>
    <w:rsid w:val="00A67E15"/>
    <w:rsid w:val="00A7073E"/>
    <w:rsid w:val="00A70C5E"/>
    <w:rsid w:val="00A7225A"/>
    <w:rsid w:val="00A72D1F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CE6"/>
    <w:rsid w:val="00A92C58"/>
    <w:rsid w:val="00A93505"/>
    <w:rsid w:val="00A9386A"/>
    <w:rsid w:val="00A94BDF"/>
    <w:rsid w:val="00A95347"/>
    <w:rsid w:val="00A956EB"/>
    <w:rsid w:val="00A95FC3"/>
    <w:rsid w:val="00AA0970"/>
    <w:rsid w:val="00AA0D55"/>
    <w:rsid w:val="00AA1538"/>
    <w:rsid w:val="00AA1570"/>
    <w:rsid w:val="00AA455F"/>
    <w:rsid w:val="00AA53E5"/>
    <w:rsid w:val="00AA5832"/>
    <w:rsid w:val="00AA5E49"/>
    <w:rsid w:val="00AA6809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7E38"/>
    <w:rsid w:val="00AC0185"/>
    <w:rsid w:val="00AC0199"/>
    <w:rsid w:val="00AC0670"/>
    <w:rsid w:val="00AC097F"/>
    <w:rsid w:val="00AC0CAA"/>
    <w:rsid w:val="00AC70EA"/>
    <w:rsid w:val="00AC7E8C"/>
    <w:rsid w:val="00AD2D89"/>
    <w:rsid w:val="00AD43DC"/>
    <w:rsid w:val="00AD46C5"/>
    <w:rsid w:val="00AD4A02"/>
    <w:rsid w:val="00AE002C"/>
    <w:rsid w:val="00AE0EAD"/>
    <w:rsid w:val="00AE29F7"/>
    <w:rsid w:val="00AE4236"/>
    <w:rsid w:val="00AE480C"/>
    <w:rsid w:val="00AE51B0"/>
    <w:rsid w:val="00AE591A"/>
    <w:rsid w:val="00AE7F3B"/>
    <w:rsid w:val="00AF259B"/>
    <w:rsid w:val="00AF3225"/>
    <w:rsid w:val="00AF3D5A"/>
    <w:rsid w:val="00AF41AB"/>
    <w:rsid w:val="00AF712B"/>
    <w:rsid w:val="00B01547"/>
    <w:rsid w:val="00B01889"/>
    <w:rsid w:val="00B02B08"/>
    <w:rsid w:val="00B0348F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794"/>
    <w:rsid w:val="00B52924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7DC9"/>
    <w:rsid w:val="00B7299D"/>
    <w:rsid w:val="00B7385F"/>
    <w:rsid w:val="00B74EDD"/>
    <w:rsid w:val="00B75359"/>
    <w:rsid w:val="00B75411"/>
    <w:rsid w:val="00B756D9"/>
    <w:rsid w:val="00B762E9"/>
    <w:rsid w:val="00B777B6"/>
    <w:rsid w:val="00B80490"/>
    <w:rsid w:val="00B80578"/>
    <w:rsid w:val="00B82E1E"/>
    <w:rsid w:val="00B82F92"/>
    <w:rsid w:val="00B84E07"/>
    <w:rsid w:val="00B86834"/>
    <w:rsid w:val="00B86897"/>
    <w:rsid w:val="00B91541"/>
    <w:rsid w:val="00B92219"/>
    <w:rsid w:val="00B9399D"/>
    <w:rsid w:val="00B94DAE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910"/>
    <w:rsid w:val="00BB3016"/>
    <w:rsid w:val="00BB3521"/>
    <w:rsid w:val="00BB368C"/>
    <w:rsid w:val="00BB39B5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55AE"/>
    <w:rsid w:val="00BF7735"/>
    <w:rsid w:val="00BF7DEE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622F"/>
    <w:rsid w:val="00C1671F"/>
    <w:rsid w:val="00C2030F"/>
    <w:rsid w:val="00C21572"/>
    <w:rsid w:val="00C215CE"/>
    <w:rsid w:val="00C251B9"/>
    <w:rsid w:val="00C264AE"/>
    <w:rsid w:val="00C271CB"/>
    <w:rsid w:val="00C27207"/>
    <w:rsid w:val="00C274A5"/>
    <w:rsid w:val="00C31E7E"/>
    <w:rsid w:val="00C329D6"/>
    <w:rsid w:val="00C32BEC"/>
    <w:rsid w:val="00C32D1F"/>
    <w:rsid w:val="00C32E00"/>
    <w:rsid w:val="00C35FF3"/>
    <w:rsid w:val="00C40D77"/>
    <w:rsid w:val="00C4362F"/>
    <w:rsid w:val="00C44055"/>
    <w:rsid w:val="00C44AEE"/>
    <w:rsid w:val="00C451C3"/>
    <w:rsid w:val="00C46124"/>
    <w:rsid w:val="00C46ABE"/>
    <w:rsid w:val="00C5158D"/>
    <w:rsid w:val="00C5161E"/>
    <w:rsid w:val="00C54B8E"/>
    <w:rsid w:val="00C557F9"/>
    <w:rsid w:val="00C56CFE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6944"/>
    <w:rsid w:val="00C76A41"/>
    <w:rsid w:val="00C76D1D"/>
    <w:rsid w:val="00C77172"/>
    <w:rsid w:val="00C80606"/>
    <w:rsid w:val="00C80A95"/>
    <w:rsid w:val="00C83C20"/>
    <w:rsid w:val="00C83EE9"/>
    <w:rsid w:val="00C83F7B"/>
    <w:rsid w:val="00C841B2"/>
    <w:rsid w:val="00C853C7"/>
    <w:rsid w:val="00C85490"/>
    <w:rsid w:val="00C90FA5"/>
    <w:rsid w:val="00C91AC8"/>
    <w:rsid w:val="00C91EE1"/>
    <w:rsid w:val="00C9290C"/>
    <w:rsid w:val="00C9396A"/>
    <w:rsid w:val="00C94045"/>
    <w:rsid w:val="00C94174"/>
    <w:rsid w:val="00C94C38"/>
    <w:rsid w:val="00C94DAB"/>
    <w:rsid w:val="00C9756D"/>
    <w:rsid w:val="00C975B5"/>
    <w:rsid w:val="00CA0081"/>
    <w:rsid w:val="00CA1366"/>
    <w:rsid w:val="00CA17BB"/>
    <w:rsid w:val="00CA388A"/>
    <w:rsid w:val="00CA53DD"/>
    <w:rsid w:val="00CB0372"/>
    <w:rsid w:val="00CB7C76"/>
    <w:rsid w:val="00CC16D1"/>
    <w:rsid w:val="00CC1987"/>
    <w:rsid w:val="00CC218C"/>
    <w:rsid w:val="00CC3A8B"/>
    <w:rsid w:val="00CC5EEF"/>
    <w:rsid w:val="00CC5FEC"/>
    <w:rsid w:val="00CC6F27"/>
    <w:rsid w:val="00CD0C86"/>
    <w:rsid w:val="00CD10D7"/>
    <w:rsid w:val="00CD2FDC"/>
    <w:rsid w:val="00CD33AF"/>
    <w:rsid w:val="00CD4CC6"/>
    <w:rsid w:val="00CD5E27"/>
    <w:rsid w:val="00CD7F35"/>
    <w:rsid w:val="00CE032A"/>
    <w:rsid w:val="00CE0BC2"/>
    <w:rsid w:val="00CE1EB6"/>
    <w:rsid w:val="00CE3A39"/>
    <w:rsid w:val="00CE3CF9"/>
    <w:rsid w:val="00CE42C7"/>
    <w:rsid w:val="00CE50F7"/>
    <w:rsid w:val="00CE76DE"/>
    <w:rsid w:val="00CF0985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45CE"/>
    <w:rsid w:val="00D0752F"/>
    <w:rsid w:val="00D075B0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FDF"/>
    <w:rsid w:val="00D17873"/>
    <w:rsid w:val="00D207F1"/>
    <w:rsid w:val="00D207FE"/>
    <w:rsid w:val="00D22A9C"/>
    <w:rsid w:val="00D24299"/>
    <w:rsid w:val="00D26E3D"/>
    <w:rsid w:val="00D306B4"/>
    <w:rsid w:val="00D30BF6"/>
    <w:rsid w:val="00D315D9"/>
    <w:rsid w:val="00D31CCC"/>
    <w:rsid w:val="00D32F4E"/>
    <w:rsid w:val="00D3474C"/>
    <w:rsid w:val="00D36A9A"/>
    <w:rsid w:val="00D37234"/>
    <w:rsid w:val="00D37A98"/>
    <w:rsid w:val="00D40C39"/>
    <w:rsid w:val="00D424EB"/>
    <w:rsid w:val="00D42E0C"/>
    <w:rsid w:val="00D43574"/>
    <w:rsid w:val="00D439C6"/>
    <w:rsid w:val="00D45E82"/>
    <w:rsid w:val="00D4600C"/>
    <w:rsid w:val="00D46392"/>
    <w:rsid w:val="00D47ECA"/>
    <w:rsid w:val="00D5046B"/>
    <w:rsid w:val="00D50EC0"/>
    <w:rsid w:val="00D50FC3"/>
    <w:rsid w:val="00D5314D"/>
    <w:rsid w:val="00D54324"/>
    <w:rsid w:val="00D5441B"/>
    <w:rsid w:val="00D548D6"/>
    <w:rsid w:val="00D56098"/>
    <w:rsid w:val="00D5682F"/>
    <w:rsid w:val="00D57B31"/>
    <w:rsid w:val="00D63123"/>
    <w:rsid w:val="00D651BE"/>
    <w:rsid w:val="00D65723"/>
    <w:rsid w:val="00D65E01"/>
    <w:rsid w:val="00D66A83"/>
    <w:rsid w:val="00D67318"/>
    <w:rsid w:val="00D71D98"/>
    <w:rsid w:val="00D7289E"/>
    <w:rsid w:val="00D74C26"/>
    <w:rsid w:val="00D7527C"/>
    <w:rsid w:val="00D7594C"/>
    <w:rsid w:val="00D80458"/>
    <w:rsid w:val="00D81065"/>
    <w:rsid w:val="00D814D8"/>
    <w:rsid w:val="00D82507"/>
    <w:rsid w:val="00D9053A"/>
    <w:rsid w:val="00D90EF4"/>
    <w:rsid w:val="00D91FC6"/>
    <w:rsid w:val="00D928E7"/>
    <w:rsid w:val="00D92CF7"/>
    <w:rsid w:val="00D936A7"/>
    <w:rsid w:val="00D9457D"/>
    <w:rsid w:val="00D94721"/>
    <w:rsid w:val="00D95AE0"/>
    <w:rsid w:val="00D96F37"/>
    <w:rsid w:val="00D97974"/>
    <w:rsid w:val="00D97D4C"/>
    <w:rsid w:val="00DA1A02"/>
    <w:rsid w:val="00DA2742"/>
    <w:rsid w:val="00DA2888"/>
    <w:rsid w:val="00DA29FE"/>
    <w:rsid w:val="00DA3754"/>
    <w:rsid w:val="00DA3CD3"/>
    <w:rsid w:val="00DA42B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1DC"/>
    <w:rsid w:val="00DC4F7A"/>
    <w:rsid w:val="00DC5DBD"/>
    <w:rsid w:val="00DC6EC7"/>
    <w:rsid w:val="00DC7553"/>
    <w:rsid w:val="00DD0097"/>
    <w:rsid w:val="00DD1560"/>
    <w:rsid w:val="00DD1A43"/>
    <w:rsid w:val="00DD2156"/>
    <w:rsid w:val="00DD2460"/>
    <w:rsid w:val="00DD3391"/>
    <w:rsid w:val="00DD37D4"/>
    <w:rsid w:val="00DD406A"/>
    <w:rsid w:val="00DD50AE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4699"/>
    <w:rsid w:val="00DF57DD"/>
    <w:rsid w:val="00E01159"/>
    <w:rsid w:val="00E0181E"/>
    <w:rsid w:val="00E02BB4"/>
    <w:rsid w:val="00E03AF3"/>
    <w:rsid w:val="00E042B7"/>
    <w:rsid w:val="00E05F99"/>
    <w:rsid w:val="00E06073"/>
    <w:rsid w:val="00E06960"/>
    <w:rsid w:val="00E07950"/>
    <w:rsid w:val="00E07DF6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6764"/>
    <w:rsid w:val="00E36E51"/>
    <w:rsid w:val="00E41969"/>
    <w:rsid w:val="00E41FF8"/>
    <w:rsid w:val="00E4201C"/>
    <w:rsid w:val="00E4277C"/>
    <w:rsid w:val="00E4319D"/>
    <w:rsid w:val="00E446A7"/>
    <w:rsid w:val="00E44741"/>
    <w:rsid w:val="00E46CE1"/>
    <w:rsid w:val="00E47250"/>
    <w:rsid w:val="00E53E96"/>
    <w:rsid w:val="00E612CB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D83"/>
    <w:rsid w:val="00E820F6"/>
    <w:rsid w:val="00E82F73"/>
    <w:rsid w:val="00E8387F"/>
    <w:rsid w:val="00E83C25"/>
    <w:rsid w:val="00E850E8"/>
    <w:rsid w:val="00E8535D"/>
    <w:rsid w:val="00E85AD0"/>
    <w:rsid w:val="00E8721F"/>
    <w:rsid w:val="00E90C20"/>
    <w:rsid w:val="00E91FA2"/>
    <w:rsid w:val="00E93DA5"/>
    <w:rsid w:val="00E94E72"/>
    <w:rsid w:val="00E95DC3"/>
    <w:rsid w:val="00EA0A04"/>
    <w:rsid w:val="00EA0A10"/>
    <w:rsid w:val="00EA0D42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1F0A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F234E"/>
    <w:rsid w:val="00EF3895"/>
    <w:rsid w:val="00EF3B77"/>
    <w:rsid w:val="00EF6BD5"/>
    <w:rsid w:val="00EF7093"/>
    <w:rsid w:val="00EF71D2"/>
    <w:rsid w:val="00EF7939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61DF"/>
    <w:rsid w:val="00F06823"/>
    <w:rsid w:val="00F06C51"/>
    <w:rsid w:val="00F12428"/>
    <w:rsid w:val="00F12A50"/>
    <w:rsid w:val="00F13DFA"/>
    <w:rsid w:val="00F159CA"/>
    <w:rsid w:val="00F16FCE"/>
    <w:rsid w:val="00F177B8"/>
    <w:rsid w:val="00F2086F"/>
    <w:rsid w:val="00F2103C"/>
    <w:rsid w:val="00F228D1"/>
    <w:rsid w:val="00F2442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5137F"/>
    <w:rsid w:val="00F51391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238F"/>
    <w:rsid w:val="00F73CB2"/>
    <w:rsid w:val="00F740D9"/>
    <w:rsid w:val="00F74EF3"/>
    <w:rsid w:val="00F82162"/>
    <w:rsid w:val="00F82EC4"/>
    <w:rsid w:val="00F837F5"/>
    <w:rsid w:val="00F85FA8"/>
    <w:rsid w:val="00F863EA"/>
    <w:rsid w:val="00F865AF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17B7"/>
    <w:rsid w:val="00FE1ABE"/>
    <w:rsid w:val="00FE2070"/>
    <w:rsid w:val="00FE3396"/>
    <w:rsid w:val="00FE368E"/>
    <w:rsid w:val="00FE36AE"/>
    <w:rsid w:val="00FE5C4A"/>
    <w:rsid w:val="00FE5CF1"/>
    <w:rsid w:val="00FE6A78"/>
    <w:rsid w:val="00FE7E43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tabs>
        <w:tab w:val="num" w:pos="936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tabs>
        <w:tab w:val="num" w:pos="936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A0133-935C-445B-A426-31492C22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4795</TotalTime>
  <Pages>5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Xingqin Lin</cp:lastModifiedBy>
  <cp:revision>1184</cp:revision>
  <cp:lastPrinted>2015-07-20T19:34:00Z</cp:lastPrinted>
  <dcterms:created xsi:type="dcterms:W3CDTF">2015-09-03T17:40:00Z</dcterms:created>
  <dcterms:modified xsi:type="dcterms:W3CDTF">2016-02-06T01:51:00Z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